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0.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22.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6.xml" ContentType="application/vnd.openxmlformats-officedocument.wordprocessingml.footer+xml"/>
  <Override PartName="/word/numbering.xml" ContentType="application/vnd.openxmlformats-officedocument.wordprocessingml.numbering+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theme/theme1.xml" ContentType="application/vnd.openxmlformats-officedocument.theme+xml"/>
  <Override PartName="/word/header18.xml" ContentType="application/vnd.openxmlformats-officedocument.wordprocessingml.header+xml"/>
  <Override PartName="/word/footer17.xml" ContentType="application/vnd.openxmlformats-officedocument.wordprocessingml.foot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footer1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notes.xml" ContentType="application/vnd.openxmlformats-officedocument.wordprocessingml.footnot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jc w:val="center"/>
        <w:rPr>
          <w:b/>
          <w:smallCaps/>
          <w:color w:val="000000"/>
          <w:sz w:val="28"/>
          <w:szCs w:val="28"/>
        </w:rPr>
      </w:pPr>
      <w:r>
        <w:rPr>
          <w:b/>
          <w:smallCaps/>
          <w:color w:val="000000"/>
          <w:sz w:val="28"/>
          <w:szCs w:val="28"/>
        </w:rPr>
        <w:t>UNIVERSIDADE DE CAXIAS DO SUL</w:t>
      </w:r>
    </w:p>
    <w:p>
      <w:pPr>
        <w:pStyle w:val="Normal"/>
        <w:pBdr/>
        <w:jc w:val="center"/>
        <w:rPr>
          <w:b/>
          <w:color w:val="000000"/>
          <w:sz w:val="28"/>
          <w:szCs w:val="28"/>
        </w:rPr>
      </w:pPr>
      <w:r>
        <w:rPr>
          <w:b/>
          <w:color w:val="000000"/>
          <w:sz w:val="28"/>
          <w:szCs w:val="28"/>
        </w:rPr>
        <w:t>HOSPITAL GERAL</w:t>
      </w:r>
    </w:p>
    <w:p>
      <w:pPr>
        <w:pStyle w:val="Normal"/>
        <w:rPr/>
      </w:pPr>
      <w:r>
        <w:rPr/>
      </w:r>
    </w:p>
    <w:p>
      <w:pPr>
        <w:pStyle w:val="Normal"/>
        <w:pBdr/>
        <w:jc w:val="center"/>
        <w:rPr>
          <w:b/>
          <w:color w:val="000000"/>
          <w:sz w:val="28"/>
          <w:szCs w:val="28"/>
        </w:rPr>
      </w:pPr>
      <w:r>
        <w:rPr>
          <w:b/>
          <w:color w:val="000000"/>
          <w:sz w:val="28"/>
          <w:szCs w:val="28"/>
        </w:rPr>
      </w:r>
    </w:p>
    <w:p>
      <w:pPr>
        <w:pStyle w:val="Normal"/>
        <w:rPr/>
      </w:pPr>
      <w:r>
        <w:rPr/>
      </w:r>
    </w:p>
    <w:p>
      <w:pPr>
        <w:pStyle w:val="Normal"/>
        <w:pBdr/>
        <w:jc w:val="center"/>
        <w:rPr>
          <w:b/>
          <w:color w:val="000000"/>
          <w:sz w:val="28"/>
          <w:szCs w:val="28"/>
        </w:rPr>
      </w:pPr>
      <w:r>
        <w:rPr>
          <w:b/>
          <w:color w:val="000000"/>
          <w:sz w:val="28"/>
          <w:szCs w:val="28"/>
        </w:rPr>
      </w:r>
    </w:p>
    <w:p>
      <w:pPr>
        <w:pStyle w:val="Normal"/>
        <w:pBdr/>
        <w:jc w:val="center"/>
        <w:rPr>
          <w:b/>
          <w:color w:val="000000"/>
          <w:sz w:val="28"/>
          <w:szCs w:val="28"/>
        </w:rPr>
      </w:pPr>
      <w:r>
        <w:rPr>
          <w:b/>
          <w:color w:val="000000"/>
          <w:sz w:val="28"/>
          <w:szCs w:val="28"/>
        </w:rPr>
      </w:r>
    </w:p>
    <w:p>
      <w:pPr>
        <w:pStyle w:val="Normal"/>
        <w:pBdr/>
        <w:jc w:val="center"/>
        <w:rPr>
          <w:b/>
          <w:color w:val="000000"/>
          <w:sz w:val="28"/>
          <w:szCs w:val="28"/>
        </w:rPr>
      </w:pPr>
      <w:r>
        <w:rPr>
          <w:b/>
          <w:color w:val="000000"/>
          <w:sz w:val="28"/>
          <w:szCs w:val="28"/>
        </w:rPr>
      </w:r>
    </w:p>
    <w:p>
      <w:pPr>
        <w:pStyle w:val="Normal"/>
        <w:pBdr/>
        <w:jc w:val="center"/>
        <w:rPr>
          <w:b/>
          <w:color w:val="000000"/>
          <w:sz w:val="28"/>
          <w:szCs w:val="28"/>
        </w:rPr>
      </w:pPr>
      <w:r>
        <w:rPr>
          <w:b/>
          <w:color w:val="000000"/>
          <w:sz w:val="28"/>
          <w:szCs w:val="28"/>
        </w:rPr>
      </w:r>
    </w:p>
    <w:p>
      <w:pPr>
        <w:pStyle w:val="Normal"/>
        <w:pBdr/>
        <w:jc w:val="center"/>
        <w:rPr>
          <w:b/>
          <w:color w:val="000000"/>
          <w:sz w:val="28"/>
          <w:szCs w:val="28"/>
        </w:rPr>
      </w:pPr>
      <w:r>
        <w:rPr>
          <w:b/>
          <w:color w:val="000000"/>
          <w:sz w:val="28"/>
          <w:szCs w:val="28"/>
        </w:rPr>
        <w:t>Nome do Autor</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jc w:val="center"/>
        <w:rPr>
          <w:b/>
          <w:smallCaps/>
          <w:color w:val="000000"/>
          <w:sz w:val="28"/>
          <w:szCs w:val="28"/>
        </w:rPr>
      </w:pPr>
      <w:r>
        <w:rPr>
          <w:b/>
          <w:smallCaps/>
          <w:color w:val="000000"/>
          <w:sz w:val="28"/>
          <w:szCs w:val="28"/>
        </w:rPr>
        <w:t xml:space="preserve">título DO PROJETO: subtítulo </w:t>
      </w:r>
    </w:p>
    <w:p>
      <w:pPr>
        <w:pStyle w:val="Normal"/>
        <w:pBdr/>
        <w:jc w:val="center"/>
        <w:rPr>
          <w:b/>
          <w:smallCaps/>
          <w:color w:val="000000"/>
          <w:sz w:val="28"/>
          <w:szCs w:val="28"/>
        </w:rPr>
      </w:pPr>
      <w:r>
        <w:rPr>
          <w:b/>
          <w:smallCaps/>
          <w:color w:val="000000"/>
          <w:sz w:val="28"/>
          <w:szCs w:val="28"/>
        </w:rPr>
      </w:r>
    </w:p>
    <w:p>
      <w:pPr>
        <w:pStyle w:val="Normal"/>
        <w:rPr/>
      </w:pPr>
      <w:r>
        <w:rPr/>
      </w:r>
    </w:p>
    <w:p>
      <w:pPr>
        <w:pStyle w:val="Normal"/>
        <w:rPr/>
      </w:pPr>
      <w:r>
        <w:rPr/>
      </w:r>
    </w:p>
    <w:p>
      <w:pPr>
        <w:pStyle w:val="Normal"/>
        <w:rPr/>
      </w:pPr>
      <w:r>
        <w:rPr/>
      </w:r>
    </w:p>
    <w:p>
      <w:pPr>
        <w:pStyle w:val="Normal"/>
        <w:pBdr/>
        <w:ind w:start="4479"/>
        <w:rPr>
          <w:color w:val="000000"/>
        </w:rPr>
      </w:pPr>
      <w:r>
        <w:rPr>
          <w:color w:val="00000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spacing w:lineRule="auto" w:line="240" w:before="0" w:after="120"/>
        <w:jc w:val="center"/>
        <w:rPr>
          <w:color w:val="000000"/>
        </w:rPr>
      </w:pPr>
      <w:r>
        <w:rPr>
          <w:color w:val="000000"/>
        </w:rPr>
        <w:t>Caxias do Sul</w:t>
      </w:r>
    </w:p>
    <w:p>
      <w:pPr>
        <w:pStyle w:val="Normal"/>
        <w:pBdr/>
        <w:spacing w:lineRule="auto" w:line="240" w:before="0" w:after="120"/>
        <w:jc w:val="center"/>
        <w:rPr>
          <w:color w:val="000000"/>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851" w:top="1701" w:footer="851" w:bottom="1134"/>
          <w:pgNumType w:start="1" w:fmt="decimal"/>
          <w:formProt w:val="false"/>
          <w:titlePg/>
          <w:textDirection w:val="lrTb"/>
          <w:docGrid w:type="default" w:linePitch="100" w:charSpace="0"/>
        </w:sectPr>
      </w:pPr>
      <w:r>
        <w:rPr>
          <w:color w:val="000000"/>
        </w:rPr>
        <w:t>Ano</w:t>
      </w:r>
    </w:p>
    <w:p>
      <w:pPr>
        <w:pStyle w:val="Normal"/>
        <w:pBdr/>
        <w:jc w:val="center"/>
        <w:rPr>
          <w:b/>
          <w:color w:val="000000"/>
          <w:sz w:val="28"/>
          <w:szCs w:val="28"/>
        </w:rPr>
      </w:pPr>
      <w:r>
        <w:rPr>
          <w:b/>
          <w:color w:val="000000"/>
          <w:sz w:val="28"/>
          <w:szCs w:val="28"/>
        </w:rPr>
        <w:t>Nome do Autor</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jc w:val="center"/>
        <w:rPr>
          <w:b/>
          <w:smallCaps/>
          <w:color w:val="000000"/>
          <w:sz w:val="28"/>
          <w:szCs w:val="28"/>
        </w:rPr>
      </w:pPr>
      <w:r>
        <w:rPr>
          <w:b/>
          <w:smallCaps/>
          <w:color w:val="000000"/>
          <w:sz w:val="28"/>
          <w:szCs w:val="28"/>
        </w:rPr>
        <w:t xml:space="preserve">título DO PROJETO: subtítulo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ind w:start="4479"/>
        <w:rPr>
          <w:color w:val="000000"/>
        </w:rPr>
      </w:pPr>
      <w:r>
        <w:rPr>
          <w:color w:val="000000"/>
        </w:rPr>
        <w:t>Projeto de Pesquisa apresentado ao Hospital Geral da Universidade de Caxias do Sul como requisito para conclusão da Residência Médica.</w:t>
      </w:r>
    </w:p>
    <w:p>
      <w:pPr>
        <w:pStyle w:val="Normal"/>
        <w:pBdr/>
        <w:ind w:start="4479"/>
        <w:rPr>
          <w:color w:val="000000"/>
        </w:rPr>
      </w:pPr>
      <w:r>
        <w:rPr>
          <w:color w:val="000000"/>
        </w:rPr>
        <w:t xml:space="preserve">Área de Concentração: </w:t>
      </w:r>
    </w:p>
    <w:p>
      <w:pPr>
        <w:pStyle w:val="Normal"/>
        <w:pBdr/>
        <w:ind w:start="4479"/>
        <w:rPr>
          <w:color w:val="000000"/>
        </w:rPr>
      </w:pPr>
      <w:r>
        <w:rPr>
          <w:color w:val="000000"/>
        </w:rPr>
      </w:r>
    </w:p>
    <w:p>
      <w:pPr>
        <w:pStyle w:val="Normal"/>
        <w:pBdr/>
        <w:ind w:start="4479"/>
        <w:rPr>
          <w:color w:val="000000"/>
        </w:rPr>
      </w:pPr>
      <w:r>
        <w:rPr>
          <w:b/>
          <w:color w:val="000000"/>
        </w:rPr>
        <w:t>Orientador(a):</w:t>
      </w:r>
      <w:r>
        <w:rPr>
          <w:color w:val="000000"/>
        </w:rPr>
        <w:t xml:space="preserve"> </w:t>
      </w:r>
    </w:p>
    <w:p>
      <w:pPr>
        <w:pStyle w:val="Normal"/>
        <w:pBdr/>
        <w:ind w:start="4479"/>
        <w:rPr>
          <w:color w:val="000000"/>
        </w:rPr>
      </w:pPr>
      <w:r>
        <w:rPr>
          <w:color w:val="000000"/>
        </w:rPr>
        <w:t>Prof(a). Dr(a). Nome do(a) Orientador(a)</w:t>
      </w:r>
    </w:p>
    <w:p>
      <w:pPr>
        <w:pStyle w:val="Normal"/>
        <w:pBdr/>
        <w:ind w:start="4479"/>
        <w:rPr>
          <w:color w:val="000000"/>
        </w:rPr>
      </w:pPr>
      <w:r>
        <w:rPr>
          <w:color w:val="000000"/>
        </w:rPr>
      </w:r>
    </w:p>
    <w:p>
      <w:pPr>
        <w:pStyle w:val="Normal"/>
        <w:pBdr/>
        <w:ind w:start="4479"/>
        <w:rPr>
          <w:color w:val="000000"/>
        </w:rPr>
      </w:pPr>
      <w:r>
        <w:rPr>
          <w:b/>
          <w:color w:val="000000"/>
        </w:rPr>
        <w:t>Coorientador(a):</w:t>
      </w:r>
      <w:r>
        <w:rPr>
          <w:color w:val="000000"/>
        </w:rPr>
        <w:t xml:space="preserve"> </w:t>
      </w:r>
    </w:p>
    <w:p>
      <w:pPr>
        <w:pStyle w:val="Normal"/>
        <w:pBdr/>
        <w:ind w:start="4479"/>
        <w:rPr>
          <w:color w:val="000000"/>
        </w:rPr>
      </w:pPr>
      <w:r>
        <w:rPr>
          <w:color w:val="000000"/>
        </w:rPr>
        <w:t>Prof(a). Dr(a). Nome do(a) Coorientador(a)</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spacing w:lineRule="auto" w:line="240" w:before="0" w:after="120"/>
        <w:jc w:val="center"/>
        <w:rPr>
          <w:color w:val="000000"/>
        </w:rPr>
      </w:pPr>
      <w:r>
        <w:rPr>
          <w:color w:val="000000"/>
        </w:rPr>
        <w:t>Caxias do Sul</w:t>
      </w:r>
    </w:p>
    <w:p>
      <w:pPr>
        <w:pStyle w:val="Normal"/>
        <w:pBdr/>
        <w:spacing w:lineRule="auto" w:line="240" w:before="0" w:after="120"/>
        <w:jc w:val="center"/>
        <w:rPr>
          <w:color w:val="000000"/>
        </w:rPr>
      </w:pPr>
      <w:r>
        <w:rPr>
          <w:color w:val="000000"/>
        </w:rPr>
        <w:t>Ano</w:t>
      </w:r>
    </w:p>
    <w:p>
      <w:pPr>
        <w:sectPr>
          <w:headerReference w:type="default" r:id="rId8"/>
          <w:headerReference w:type="first" r:id="rId9"/>
          <w:footerReference w:type="even" r:id="rId10"/>
          <w:footerReference w:type="default" r:id="rId11"/>
          <w:footerReference w:type="first" r:id="rId12"/>
          <w:type w:val="nextPage"/>
          <w:pgSz w:w="11906" w:h="16838"/>
          <w:pgMar w:left="1701" w:right="1134" w:gutter="0" w:header="851" w:top="1701" w:footer="851" w:bottom="1134"/>
          <w:pgNumType w:start="1" w:fmt="decimal"/>
          <w:formProt w:val="false"/>
          <w:textDirection w:val="lrTb"/>
          <w:docGrid w:type="default" w:linePitch="100" w:charSpace="0"/>
        </w:sectPr>
      </w:pPr>
    </w:p>
    <w:p>
      <w:pPr>
        <w:pStyle w:val="Normal"/>
        <w:spacing w:lineRule="auto" w:line="240"/>
        <w:jc w:val="start"/>
        <w:rPr>
          <w:b/>
          <w:sz w:val="26"/>
          <w:szCs w:val="26"/>
        </w:rPr>
      </w:pPr>
      <w:r>
        <w:rPr>
          <w:b/>
          <w:sz w:val="26"/>
          <w:szCs w:val="26"/>
        </w:rPr>
      </w:r>
      <w:bookmarkStart w:id="0" w:name="_heading=h.gjdgxs"/>
      <w:bookmarkEnd w:id="0"/>
      <w:r>
        <w:br w:type="page"/>
      </w:r>
    </w:p>
    <w:p>
      <w:pPr>
        <w:pStyle w:val="Title"/>
        <w:spacing w:before="0" w:after="0"/>
        <w:rPr/>
      </w:pPr>
      <w:r>
        <w:rPr/>
        <w:t>Resumo</w:t>
      </w:r>
    </w:p>
    <w:p>
      <w:pPr>
        <w:pStyle w:val="Normal"/>
        <w:rPr/>
      </w:pPr>
      <w:r>
        <w:rPr/>
      </w:r>
    </w:p>
    <w:p>
      <w:pPr>
        <w:pStyle w:val="Normal"/>
        <w:rPr/>
      </w:pPr>
      <w:r>
        <w:rPr/>
        <w:t>Elemento obrigatório conforme norma ABNT NBR 14724:2011 que consiste na apresentação concisa do trabalho em língua portuguesa. Deve apresentar também as palavras-chave e/ou descritores relativos aos assuntos do trabalho acadêmico, logo após o resumo, conforme ABNT NBR 6028:2021. O resumo deve apresentar o objetivo, o método, os resultados esperados do trabalho. Deve ser composto por frases concisas, afirmativas e não enumeração de tópicos.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 O resumo deve conter de 150 a 500 palavras.</w:t>
      </w:r>
    </w:p>
    <w:p>
      <w:pPr>
        <w:pStyle w:val="Normal"/>
        <w:rPr/>
      </w:pPr>
      <w:r>
        <w:rPr/>
      </w:r>
    </w:p>
    <w:p>
      <w:pPr>
        <w:pStyle w:val="Normal"/>
        <w:rPr/>
      </w:pPr>
      <w:r>
        <w:rPr>
          <w:b/>
        </w:rPr>
        <w:t>Palavras-chave:</w:t>
      </w:r>
      <w:r>
        <w:rPr/>
        <w:t xml:space="preserve"> Palavra 1; Palavra 2; Palavra 3; Palavra 4; Palavra 5.</w:t>
      </w:r>
    </w:p>
    <w:p>
      <w:pPr>
        <w:pStyle w:val="Normal"/>
        <w:rPr/>
      </w:pPr>
      <w:r>
        <w:rPr/>
      </w:r>
      <w:r>
        <w:br w:type="page"/>
      </w:r>
    </w:p>
    <w:p>
      <w:pPr>
        <w:pStyle w:val="Normal"/>
        <w:spacing w:before="0" w:after="0"/>
        <w:jc w:val="center"/>
        <w:rPr>
          <w:b/>
        </w:rPr>
      </w:pPr>
      <w:r>
        <w:rPr>
          <w:b/>
        </w:rPr>
        <w:t>Sumário</w:t>
      </w:r>
    </w:p>
    <w:sdt>
      <w:sdtPr>
        <w:docPartObj>
          <w:docPartGallery w:val="Table of Contents"/>
          <w:docPartUnique w:val="true"/>
        </w:docPartObj>
      </w:sdtPr>
      <w:sdtContent>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r>
            <w:fldChar w:fldCharType="begin"/>
          </w:r>
          <w:r>
            <w:rPr>
              <w:rStyle w:val="Vnculodendice"/>
              <w:smallCaps/>
              <w:webHidden/>
            </w:rPr>
            <w:instrText xml:space="preserve"> TOC \z \o "1-9" \u \t "heading 1,1,heading 2,2,heading 3,3,heading 4,4,heading 5,5,heading 6,6" \h</w:instrText>
          </w:r>
          <w:r>
            <w:rPr>
              <w:rStyle w:val="Vnculodendice"/>
              <w:smallCaps/>
              <w:webHidden/>
            </w:rPr>
            <w:fldChar w:fldCharType="separate"/>
          </w:r>
          <w:hyperlink w:anchor="_Toc239941381">
            <w:r>
              <w:rPr>
                <w:rStyle w:val="Vnculodendice"/>
                <w:smallCaps/>
                <w:webHidden/>
              </w:rPr>
              <w:t>1.</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INTRODUÇÃO E JUSTIFICATIVA</w:t>
            </w:r>
            <w:r>
              <w:rPr>
                <w:webHidden/>
              </w:rPr>
              <w:fldChar w:fldCharType="begin"/>
            </w:r>
            <w:r>
              <w:rPr>
                <w:webHidden/>
              </w:rPr>
              <w:instrText xml:space="preserve">PAGEREF _Toc239941381 \h</w:instrText>
            </w:r>
            <w:r>
              <w:rPr>
                <w:webHidden/>
              </w:rPr>
              <w:fldChar w:fldCharType="separate"/>
            </w:r>
            <w:r>
              <w:rPr>
                <w:rStyle w:val="Vnculodendice"/>
                <w:vanish w:val="false"/>
              </w:rPr>
              <w:tab/>
              <w:t>1</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2">
            <w:r>
              <w:rPr>
                <w:rStyle w:val="Vnculodendice"/>
                <w:webHidden/>
              </w:rPr>
              <w:t>1.1</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Justificativa</w:t>
            </w:r>
            <w:r>
              <w:rPr>
                <w:webHidden/>
              </w:rPr>
              <w:fldChar w:fldCharType="begin"/>
            </w:r>
            <w:r>
              <w:rPr>
                <w:webHidden/>
              </w:rPr>
              <w:instrText xml:space="preserve">PAGEREF _Toc239941382 \h</w:instrText>
            </w:r>
            <w:r>
              <w:rPr>
                <w:webHidden/>
              </w:rPr>
              <w:fldChar w:fldCharType="separate"/>
            </w:r>
            <w:r>
              <w:rPr>
                <w:rStyle w:val="Vnculodendice"/>
                <w:vanish w:val="false"/>
              </w:rPr>
              <w:tab/>
              <w:t>1</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3">
            <w:r>
              <w:rPr>
                <w:rStyle w:val="Vnculodendice"/>
                <w:webHidden/>
              </w:rPr>
              <w:t>1.2</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Hipótese</w:t>
            </w:r>
            <w:r>
              <w:rPr>
                <w:webHidden/>
              </w:rPr>
              <w:fldChar w:fldCharType="begin"/>
            </w:r>
            <w:r>
              <w:rPr>
                <w:webHidden/>
              </w:rPr>
              <w:instrText xml:space="preserve">PAGEREF _Toc239941383 \h</w:instrText>
            </w:r>
            <w:r>
              <w:rPr>
                <w:webHidden/>
              </w:rPr>
              <w:fldChar w:fldCharType="separate"/>
            </w:r>
            <w:r>
              <w:rPr>
                <w:rStyle w:val="Vnculodendice"/>
                <w:vanish w:val="false"/>
              </w:rPr>
              <w:tab/>
              <w:t>1</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4">
            <w:r>
              <w:rPr>
                <w:rStyle w:val="Vnculodendice"/>
                <w:webHidden/>
              </w:rPr>
              <w:t>1.3</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Desfecho Primário</w:t>
            </w:r>
            <w:r>
              <w:rPr>
                <w:webHidden/>
              </w:rPr>
              <w:fldChar w:fldCharType="begin"/>
            </w:r>
            <w:r>
              <w:rPr>
                <w:webHidden/>
              </w:rPr>
              <w:instrText xml:space="preserve">PAGEREF _Toc239941384 \h</w:instrText>
            </w:r>
            <w:r>
              <w:rPr>
                <w:webHidden/>
              </w:rPr>
              <w:fldChar w:fldCharType="separate"/>
            </w:r>
            <w:r>
              <w:rPr>
                <w:rStyle w:val="Vnculodendice"/>
                <w:vanish w:val="false"/>
              </w:rPr>
              <w:tab/>
              <w:t>2</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385">
            <w:r>
              <w:rPr>
                <w:rStyle w:val="Vnculodendice"/>
                <w:smallCaps/>
                <w:webHidden/>
              </w:rPr>
              <w:t>2.</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OBJETIVOS</w:t>
            </w:r>
            <w:r>
              <w:rPr>
                <w:webHidden/>
              </w:rPr>
              <w:fldChar w:fldCharType="begin"/>
            </w:r>
            <w:r>
              <w:rPr>
                <w:webHidden/>
              </w:rPr>
              <w:instrText xml:space="preserve">PAGEREF _Toc239941385 \h</w:instrText>
            </w:r>
            <w:r>
              <w:rPr>
                <w:webHidden/>
              </w:rPr>
              <w:fldChar w:fldCharType="separate"/>
            </w:r>
            <w:r>
              <w:rPr>
                <w:rStyle w:val="Vnculodendice"/>
                <w:vanish w:val="false"/>
              </w:rPr>
              <w:tab/>
              <w:t>4</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6">
            <w:r>
              <w:rPr>
                <w:rStyle w:val="Vnculodendice"/>
                <w:webHidden/>
              </w:rPr>
              <w:t>2.1</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Objetivo geral</w:t>
            </w:r>
            <w:r>
              <w:rPr>
                <w:webHidden/>
              </w:rPr>
              <w:fldChar w:fldCharType="begin"/>
            </w:r>
            <w:r>
              <w:rPr>
                <w:webHidden/>
              </w:rPr>
              <w:instrText xml:space="preserve">PAGEREF _Toc239941386 \h</w:instrText>
            </w:r>
            <w:r>
              <w:rPr>
                <w:webHidden/>
              </w:rPr>
              <w:fldChar w:fldCharType="separate"/>
            </w:r>
            <w:r>
              <w:rPr>
                <w:rStyle w:val="Vnculodendice"/>
                <w:vanish w:val="false"/>
              </w:rPr>
              <w:tab/>
              <w:t>4</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7">
            <w:r>
              <w:rPr>
                <w:rStyle w:val="Vnculodendice"/>
                <w:webHidden/>
              </w:rPr>
              <w:t>2.2</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Objetivos específicos</w:t>
            </w:r>
            <w:r>
              <w:rPr>
                <w:webHidden/>
              </w:rPr>
              <w:fldChar w:fldCharType="begin"/>
            </w:r>
            <w:r>
              <w:rPr>
                <w:webHidden/>
              </w:rPr>
              <w:instrText xml:space="preserve">PAGEREF _Toc239941387 \h</w:instrText>
            </w:r>
            <w:r>
              <w:rPr>
                <w:webHidden/>
              </w:rPr>
              <w:fldChar w:fldCharType="separate"/>
            </w:r>
            <w:r>
              <w:rPr>
                <w:rStyle w:val="Vnculodendice"/>
                <w:vanish w:val="false"/>
              </w:rPr>
              <w:tab/>
              <w:t>4</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388">
            <w:r>
              <w:rPr>
                <w:rStyle w:val="Vnculodendice"/>
                <w:smallCaps/>
                <w:webHidden/>
              </w:rPr>
              <w:t>3.</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RISCOS E BENEFÍCIOS</w:t>
            </w:r>
            <w:r>
              <w:rPr>
                <w:webHidden/>
              </w:rPr>
              <w:fldChar w:fldCharType="begin"/>
            </w:r>
            <w:r>
              <w:rPr>
                <w:webHidden/>
              </w:rPr>
              <w:instrText xml:space="preserve">PAGEREF _Toc239941388 \h</w:instrText>
            </w:r>
            <w:r>
              <w:rPr>
                <w:webHidden/>
              </w:rPr>
              <w:fldChar w:fldCharType="separate"/>
            </w:r>
            <w:r>
              <w:rPr>
                <w:rStyle w:val="Vnculodendice"/>
                <w:vanish w:val="false"/>
              </w:rPr>
              <w:tab/>
              <w:t>5</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89">
            <w:r>
              <w:rPr>
                <w:rStyle w:val="Vnculodendice"/>
                <w:webHidden/>
              </w:rPr>
              <w:t>3.1</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Tipos de riscos associados ao projeto</w:t>
            </w:r>
            <w:r>
              <w:rPr>
                <w:webHidden/>
              </w:rPr>
              <w:fldChar w:fldCharType="begin"/>
            </w:r>
            <w:r>
              <w:rPr>
                <w:webHidden/>
              </w:rPr>
              <w:instrText xml:space="preserve">PAGEREF _Toc239941389 \h</w:instrText>
            </w:r>
            <w:r>
              <w:rPr>
                <w:webHidden/>
              </w:rPr>
              <w:fldChar w:fldCharType="separate"/>
            </w:r>
            <w:r>
              <w:rPr>
                <w:rStyle w:val="Vnculodendice"/>
                <w:vanish w:val="false"/>
              </w:rPr>
              <w:tab/>
              <w:t>5</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0">
            <w:r>
              <w:rPr>
                <w:rStyle w:val="Vnculodendice"/>
                <w:webHidden/>
              </w:rPr>
              <w:t>3.2</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Níveis dos riscos da pesquisa</w:t>
            </w:r>
            <w:r>
              <w:rPr>
                <w:webHidden/>
              </w:rPr>
              <w:fldChar w:fldCharType="begin"/>
            </w:r>
            <w:r>
              <w:rPr>
                <w:webHidden/>
              </w:rPr>
              <w:instrText xml:space="preserve">PAGEREF _Toc239941390 \h</w:instrText>
            </w:r>
            <w:r>
              <w:rPr>
                <w:webHidden/>
              </w:rPr>
              <w:fldChar w:fldCharType="separate"/>
            </w:r>
            <w:r>
              <w:rPr>
                <w:rStyle w:val="Vnculodendice"/>
                <w:vanish w:val="false"/>
              </w:rPr>
              <w:tab/>
              <w:t>6</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1">
            <w:r>
              <w:rPr>
                <w:rStyle w:val="Vnculodendice"/>
                <w:webHidden/>
              </w:rPr>
              <w:t>3.3</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Exemplos de riscos e medidas minimizadoras</w:t>
            </w:r>
            <w:r>
              <w:rPr>
                <w:webHidden/>
              </w:rPr>
              <w:fldChar w:fldCharType="begin"/>
            </w:r>
            <w:r>
              <w:rPr>
                <w:webHidden/>
              </w:rPr>
              <w:instrText xml:space="preserve">PAGEREF _Toc239941391 \h</w:instrText>
            </w:r>
            <w:r>
              <w:rPr>
                <w:webHidden/>
              </w:rPr>
              <w:fldChar w:fldCharType="separate"/>
            </w:r>
            <w:r>
              <w:rPr>
                <w:rStyle w:val="Vnculodendice"/>
                <w:vanish w:val="false"/>
              </w:rPr>
              <w:tab/>
              <w:t>7</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2">
            <w:r>
              <w:rPr>
                <w:rStyle w:val="Vnculodendice"/>
                <w:webHidden/>
              </w:rPr>
              <w:t>3.4</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Benefícios</w:t>
            </w:r>
            <w:r>
              <w:rPr>
                <w:webHidden/>
              </w:rPr>
              <w:fldChar w:fldCharType="begin"/>
            </w:r>
            <w:r>
              <w:rPr>
                <w:webHidden/>
              </w:rPr>
              <w:instrText xml:space="preserve">PAGEREF _Toc239941392 \h</w:instrText>
            </w:r>
            <w:r>
              <w:rPr>
                <w:webHidden/>
              </w:rPr>
              <w:fldChar w:fldCharType="separate"/>
            </w:r>
            <w:r>
              <w:rPr>
                <w:rStyle w:val="Vnculodendice"/>
                <w:vanish w:val="false"/>
              </w:rPr>
              <w:tab/>
              <w:t>11</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393">
            <w:r>
              <w:rPr>
                <w:rStyle w:val="Vnculodendice"/>
                <w:smallCaps/>
                <w:webHidden/>
              </w:rPr>
              <w:t>4.</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METODOLOGIA</w:t>
            </w:r>
            <w:r>
              <w:rPr>
                <w:webHidden/>
              </w:rPr>
              <w:fldChar w:fldCharType="begin"/>
            </w:r>
            <w:r>
              <w:rPr>
                <w:webHidden/>
              </w:rPr>
              <w:instrText xml:space="preserve">PAGEREF _Toc239941393 \h</w:instrText>
            </w:r>
            <w:r>
              <w:rPr>
                <w:webHidden/>
              </w:rPr>
              <w:fldChar w:fldCharType="separate"/>
            </w:r>
            <w:r>
              <w:rPr>
                <w:rStyle w:val="Vnculodendice"/>
                <w:vanish w:val="false"/>
              </w:rPr>
              <w:tab/>
              <w:t>15</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4">
            <w:r>
              <w:rPr>
                <w:rStyle w:val="Vnculodendice"/>
                <w:webHidden/>
              </w:rPr>
              <w:t>4.1</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Delineamento do estudo</w:t>
            </w:r>
            <w:r>
              <w:rPr>
                <w:webHidden/>
              </w:rPr>
              <w:fldChar w:fldCharType="begin"/>
            </w:r>
            <w:r>
              <w:rPr>
                <w:webHidden/>
              </w:rPr>
              <w:instrText xml:space="preserve">PAGEREF _Toc239941394 \h</w:instrText>
            </w:r>
            <w:r>
              <w:rPr>
                <w:webHidden/>
              </w:rPr>
              <w:fldChar w:fldCharType="separate"/>
            </w:r>
            <w:r>
              <w:rPr>
                <w:rStyle w:val="Vnculodendice"/>
                <w:vanish w:val="false"/>
              </w:rPr>
              <w:tab/>
              <w:t>15</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5">
            <w:r>
              <w:rPr>
                <w:rStyle w:val="Vnculodendice"/>
                <w:webHidden/>
              </w:rPr>
              <w:t>4.2</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População da Pesquisa</w:t>
            </w:r>
            <w:r>
              <w:rPr>
                <w:webHidden/>
              </w:rPr>
              <w:fldChar w:fldCharType="begin"/>
            </w:r>
            <w:r>
              <w:rPr>
                <w:webHidden/>
              </w:rPr>
              <w:instrText xml:space="preserve">PAGEREF _Toc239941395 \h</w:instrText>
            </w:r>
            <w:r>
              <w:rPr>
                <w:webHidden/>
              </w:rPr>
              <w:fldChar w:fldCharType="separate"/>
            </w:r>
            <w:r>
              <w:rPr>
                <w:rStyle w:val="Vnculodendice"/>
                <w:vanish w:val="false"/>
              </w:rPr>
              <w:tab/>
              <w:t>17</w:t>
            </w:r>
            <w:r>
              <w:rPr>
                <w:webHidden/>
              </w:rPr>
              <w:fldChar w:fldCharType="end"/>
            </w:r>
          </w:hyperlink>
        </w:p>
        <w:p>
          <w:pPr>
            <w:pStyle w:val="TOC3"/>
            <w:tabs>
              <w:tab w:val="clear" w:pos="720"/>
              <w:tab w:val="left" w:pos="1984" w:leader="none"/>
              <w:tab w:val="right" w:pos="9062" w:leader="dot"/>
            </w:tabs>
            <w:rPr>
              <w:rFonts w:ascii="Calibri" w:hAnsi="Calibri" w:eastAsia="" w:cs="" w:asciiTheme="minorHAnsi" w:cstheme="minorBidi" w:eastAsiaTheme="minorEastAsia" w:hAnsiTheme="minorHAnsi"/>
              <w:kern w:val="2"/>
              <w:sz w:val="24"/>
              <w:lang w:val="en-AU" w:eastAsia="en-AU"/>
              <w14:ligatures w14:val="standardContextual"/>
            </w:rPr>
          </w:pPr>
          <w:hyperlink w:anchor="_Toc239941396">
            <w:r>
              <w:rPr>
                <w:rStyle w:val="Vnculodendice"/>
                <w:webHidden/>
              </w:rPr>
              <w:t>4.2.1</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Critério de inclusão</w:t>
            </w:r>
            <w:r>
              <w:rPr>
                <w:webHidden/>
              </w:rPr>
              <w:fldChar w:fldCharType="begin"/>
            </w:r>
            <w:r>
              <w:rPr>
                <w:webHidden/>
              </w:rPr>
              <w:instrText xml:space="preserve">PAGEREF _Toc239941396 \h</w:instrText>
            </w:r>
            <w:r>
              <w:rPr>
                <w:webHidden/>
              </w:rPr>
              <w:fldChar w:fldCharType="separate"/>
            </w:r>
            <w:r>
              <w:rPr>
                <w:rStyle w:val="Vnculodendice"/>
                <w:vanish w:val="false"/>
              </w:rPr>
              <w:tab/>
              <w:t>17</w:t>
            </w:r>
            <w:r>
              <w:rPr>
                <w:webHidden/>
              </w:rPr>
              <w:fldChar w:fldCharType="end"/>
            </w:r>
          </w:hyperlink>
        </w:p>
        <w:p>
          <w:pPr>
            <w:pStyle w:val="TOC3"/>
            <w:tabs>
              <w:tab w:val="clear" w:pos="720"/>
              <w:tab w:val="left" w:pos="1984" w:leader="none"/>
              <w:tab w:val="right" w:pos="9062" w:leader="dot"/>
            </w:tabs>
            <w:rPr>
              <w:rFonts w:ascii="Calibri" w:hAnsi="Calibri" w:eastAsia="" w:cs="" w:asciiTheme="minorHAnsi" w:cstheme="minorBidi" w:eastAsiaTheme="minorEastAsia" w:hAnsiTheme="minorHAnsi"/>
              <w:kern w:val="2"/>
              <w:sz w:val="24"/>
              <w:lang w:val="en-AU" w:eastAsia="en-AU"/>
              <w14:ligatures w14:val="standardContextual"/>
            </w:rPr>
          </w:pPr>
          <w:hyperlink w:anchor="_Toc239941397">
            <w:r>
              <w:rPr>
                <w:rStyle w:val="Vnculodendice"/>
                <w:webHidden/>
              </w:rPr>
              <w:t>4.2.2</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Critério de exclusão</w:t>
            </w:r>
            <w:r>
              <w:rPr>
                <w:webHidden/>
              </w:rPr>
              <w:fldChar w:fldCharType="begin"/>
            </w:r>
            <w:r>
              <w:rPr>
                <w:webHidden/>
              </w:rPr>
              <w:instrText xml:space="preserve">PAGEREF _Toc239941397 \h</w:instrText>
            </w:r>
            <w:r>
              <w:rPr>
                <w:webHidden/>
              </w:rPr>
              <w:fldChar w:fldCharType="separate"/>
            </w:r>
            <w:r>
              <w:rPr>
                <w:rStyle w:val="Vnculodendice"/>
                <w:vanish w:val="false"/>
              </w:rPr>
              <w:tab/>
              <w:t>17</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8">
            <w:r>
              <w:rPr>
                <w:rStyle w:val="Vnculodendice"/>
                <w:webHidden/>
              </w:rPr>
              <w:t>4.3</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Coleta de dados</w:t>
            </w:r>
            <w:r>
              <w:rPr>
                <w:webHidden/>
              </w:rPr>
              <w:fldChar w:fldCharType="begin"/>
            </w:r>
            <w:r>
              <w:rPr>
                <w:webHidden/>
              </w:rPr>
              <w:instrText xml:space="preserve">PAGEREF _Toc239941398 \h</w:instrText>
            </w:r>
            <w:r>
              <w:rPr>
                <w:webHidden/>
              </w:rPr>
              <w:fldChar w:fldCharType="separate"/>
            </w:r>
            <w:r>
              <w:rPr>
                <w:rStyle w:val="Vnculodendice"/>
                <w:vanish w:val="false"/>
              </w:rPr>
              <w:tab/>
              <w:t>18</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399">
            <w:r>
              <w:rPr>
                <w:rStyle w:val="Vnculodendice"/>
                <w:webHidden/>
              </w:rPr>
              <w:t>4.4</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Aspectos éticos</w:t>
            </w:r>
            <w:r>
              <w:rPr>
                <w:webHidden/>
              </w:rPr>
              <w:fldChar w:fldCharType="begin"/>
            </w:r>
            <w:r>
              <w:rPr>
                <w:webHidden/>
              </w:rPr>
              <w:instrText xml:space="preserve">PAGEREF _Toc239941399 \h</w:instrText>
            </w:r>
            <w:r>
              <w:rPr>
                <w:webHidden/>
              </w:rPr>
              <w:fldChar w:fldCharType="separate"/>
            </w:r>
            <w:r>
              <w:rPr>
                <w:rStyle w:val="Vnculodendice"/>
                <w:vanish w:val="false"/>
              </w:rPr>
              <w:tab/>
              <w:t>20</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400">
            <w:r>
              <w:rPr>
                <w:rStyle w:val="Vnculodendice"/>
                <w:webHidden/>
              </w:rPr>
              <w:t>4.5</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Metodologia de análise de dados</w:t>
            </w:r>
            <w:r>
              <w:rPr>
                <w:webHidden/>
              </w:rPr>
              <w:fldChar w:fldCharType="begin"/>
            </w:r>
            <w:r>
              <w:rPr>
                <w:webHidden/>
              </w:rPr>
              <w:instrText xml:space="preserve">PAGEREF _Toc239941400 \h</w:instrText>
            </w:r>
            <w:r>
              <w:rPr>
                <w:webHidden/>
              </w:rPr>
              <w:fldChar w:fldCharType="separate"/>
            </w:r>
            <w:r>
              <w:rPr>
                <w:rStyle w:val="Vnculodendice"/>
                <w:vanish w:val="false"/>
              </w:rPr>
              <w:tab/>
              <w:t>21</w:t>
            </w:r>
            <w:r>
              <w:rPr>
                <w:webHidden/>
              </w:rPr>
              <w:fldChar w:fldCharType="end"/>
            </w:r>
          </w:hyperlink>
        </w:p>
        <w:p>
          <w:pPr>
            <w:pStyle w:val="TOC2"/>
            <w:rPr>
              <w:rFonts w:ascii="Calibri" w:hAnsi="Calibri" w:eastAsia="" w:cs="" w:asciiTheme="minorHAnsi" w:cstheme="minorBidi" w:eastAsiaTheme="minorEastAsia" w:hAnsiTheme="minorHAnsi"/>
              <w:kern w:val="2"/>
              <w:sz w:val="24"/>
              <w:lang w:val="en-AU" w:eastAsia="en-AU"/>
              <w14:ligatures w14:val="standardContextual"/>
            </w:rPr>
          </w:pPr>
          <w:hyperlink w:anchor="_Toc239941401">
            <w:r>
              <w:rPr>
                <w:rStyle w:val="Vnculodendice"/>
                <w:webHidden/>
              </w:rPr>
              <w:t>4.6</w:t>
            </w:r>
            <w:r>
              <w:rPr>
                <w:rStyle w:val="Vnculodendice"/>
                <w:rFonts w:eastAsia="" w:cs="" w:ascii="Calibri" w:hAnsi="Calibri" w:asciiTheme="minorHAnsi" w:cstheme="minorBidi" w:eastAsiaTheme="minorEastAsia" w:hAnsiTheme="minorHAnsi"/>
                <w:kern w:val="2"/>
                <w:sz w:val="24"/>
                <w:lang w:val="en-AU" w:eastAsia="en-AU"/>
                <w14:ligatures w14:val="standardContextual"/>
              </w:rPr>
              <w:tab/>
            </w:r>
            <w:r>
              <w:rPr>
                <w:rStyle w:val="Vnculodendice"/>
              </w:rPr>
              <w:t>Tamanho amostral</w:t>
            </w:r>
            <w:r>
              <w:rPr>
                <w:webHidden/>
              </w:rPr>
              <w:fldChar w:fldCharType="begin"/>
            </w:r>
            <w:r>
              <w:rPr>
                <w:webHidden/>
              </w:rPr>
              <w:instrText xml:space="preserve">PAGEREF _Toc239941401 \h</w:instrText>
            </w:r>
            <w:r>
              <w:rPr>
                <w:webHidden/>
              </w:rPr>
              <w:fldChar w:fldCharType="separate"/>
            </w:r>
            <w:r>
              <w:rPr>
                <w:rStyle w:val="Vnculodendice"/>
                <w:vanish w:val="false"/>
              </w:rPr>
              <w:tab/>
              <w:t>22</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402">
            <w:r>
              <w:rPr>
                <w:rStyle w:val="Vnculodendice"/>
                <w:smallCaps/>
                <w:webHidden/>
              </w:rPr>
              <w:t>5.</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ORÇAMENTO</w:t>
            </w:r>
            <w:r>
              <w:rPr>
                <w:webHidden/>
              </w:rPr>
              <w:fldChar w:fldCharType="begin"/>
            </w:r>
            <w:r>
              <w:rPr>
                <w:webHidden/>
              </w:rPr>
              <w:instrText xml:space="preserve">PAGEREF _Toc239941402 \h</w:instrText>
            </w:r>
            <w:r>
              <w:rPr>
                <w:webHidden/>
              </w:rPr>
              <w:fldChar w:fldCharType="separate"/>
            </w:r>
            <w:r>
              <w:rPr>
                <w:rStyle w:val="Vnculodendice"/>
                <w:vanish w:val="false"/>
              </w:rPr>
              <w:tab/>
              <w:t>23</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403">
            <w:r>
              <w:rPr>
                <w:rStyle w:val="Vnculodendice"/>
                <w:smallCaps/>
                <w:webHidden/>
              </w:rPr>
              <w:t>6.</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CRONOGRAMA</w:t>
            </w:r>
            <w:r>
              <w:rPr>
                <w:webHidden/>
              </w:rPr>
              <w:fldChar w:fldCharType="begin"/>
            </w:r>
            <w:r>
              <w:rPr>
                <w:webHidden/>
              </w:rPr>
              <w:instrText xml:space="preserve">PAGEREF _Toc239941403 \h</w:instrText>
            </w:r>
            <w:r>
              <w:rPr>
                <w:webHidden/>
              </w:rPr>
              <w:fldChar w:fldCharType="separate"/>
            </w:r>
            <w:r>
              <w:rPr>
                <w:rStyle w:val="Vnculodendice"/>
                <w:vanish w:val="false"/>
              </w:rPr>
              <w:tab/>
              <w:t>26</w:t>
            </w:r>
            <w:r>
              <w:rPr>
                <w:webHidden/>
              </w:rPr>
              <w:fldChar w:fldCharType="end"/>
            </w:r>
          </w:hyperlink>
        </w:p>
        <w:p>
          <w:pPr>
            <w:pStyle w:val="TOC1"/>
            <w:tabs>
              <w:tab w:val="clear" w:pos="720"/>
              <w:tab w:val="right" w:pos="9062" w:leader="dot"/>
            </w:tabs>
            <w:rPr>
              <w:rFonts w:ascii="Calibri" w:hAnsi="Calibri" w:eastAsia="" w:cs="" w:asciiTheme="minorHAnsi" w:cstheme="minorBidi" w:eastAsiaTheme="minorEastAsia" w:hAnsiTheme="minorHAnsi"/>
              <w:b w:val="false"/>
              <w:kern w:val="2"/>
              <w:lang w:val="en-AU" w:eastAsia="en-AU"/>
              <w14:ligatures w14:val="standardContextual"/>
            </w:rPr>
          </w:pPr>
          <w:hyperlink w:anchor="_Toc239941404">
            <w:r>
              <w:rPr>
                <w:rStyle w:val="Vnculodendice"/>
                <w:smallCaps/>
                <w:webHidden/>
              </w:rPr>
              <w:t>7.</w:t>
            </w:r>
            <w:r>
              <w:rPr>
                <w:rStyle w:val="Vnculodendice"/>
                <w:rFonts w:eastAsia="" w:cs="" w:ascii="Calibri" w:hAnsi="Calibri" w:asciiTheme="minorHAnsi" w:cstheme="minorBidi" w:eastAsiaTheme="minorEastAsia" w:hAnsiTheme="minorHAnsi"/>
                <w:b w:val="false"/>
                <w:kern w:val="2"/>
                <w:lang w:val="en-AU" w:eastAsia="en-AU"/>
                <w14:ligatures w14:val="standardContextual"/>
              </w:rPr>
              <w:tab/>
            </w:r>
            <w:r>
              <w:rPr>
                <w:rStyle w:val="Vnculodendice"/>
              </w:rPr>
              <w:t>REFERÊNCIAS</w:t>
            </w:r>
            <w:r>
              <w:rPr>
                <w:webHidden/>
              </w:rPr>
              <w:fldChar w:fldCharType="begin"/>
            </w:r>
            <w:r>
              <w:rPr>
                <w:webHidden/>
              </w:rPr>
              <w:instrText xml:space="preserve">PAGEREF _Toc239941404 \h</w:instrText>
            </w:r>
            <w:r>
              <w:rPr>
                <w:webHidden/>
              </w:rPr>
              <w:fldChar w:fldCharType="separate"/>
            </w:r>
            <w:r>
              <w:rPr>
                <w:rStyle w:val="Vnculodendice"/>
                <w:vanish w:val="false"/>
              </w:rPr>
              <w:tab/>
              <w:t>28</w:t>
            </w:r>
            <w:r>
              <w:rPr>
                <w:webHidden/>
              </w:rPr>
              <w:fldChar w:fldCharType="end"/>
            </w:r>
          </w:hyperlink>
          <w:r>
            <w:rPr>
              <w:rStyle w:val="Vnculodendice"/>
              <w:vanish w:val="false"/>
            </w:rPr>
            <w:fldChar w:fldCharType="end"/>
          </w:r>
        </w:p>
      </w:sdtContent>
    </w:sdt>
    <w:p>
      <w:pPr>
        <w:pStyle w:val="Normal"/>
        <w:widowControl w:val="false"/>
        <w:tabs>
          <w:tab w:val="clear" w:pos="720"/>
          <w:tab w:val="right" w:pos="12000" w:leader="dot"/>
        </w:tabs>
        <w:spacing w:lineRule="auto" w:line="240" w:before="60" w:after="0"/>
        <w:jc w:val="start"/>
        <w:rPr>
          <w:rFonts w:ascii="Arial" w:hAnsi="Arial" w:eastAsia="Arial" w:cs="Arial"/>
          <w:b/>
          <w:color w:val="000000"/>
          <w:sz w:val="22"/>
          <w:szCs w:val="22"/>
        </w:rPr>
      </w:pPr>
      <w:r>
        <w:rPr>
          <w:rFonts w:eastAsia="Arial" w:cs="Arial" w:ascii="Arial" w:hAnsi="Arial"/>
          <w:b/>
          <w:color w:val="000000"/>
          <w:sz w:val="22"/>
          <w:szCs w:val="22"/>
        </w:rPr>
      </w:r>
    </w:p>
    <w:p>
      <w:pPr>
        <w:pStyle w:val="Normal"/>
        <w:rPr/>
      </w:pPr>
      <w:r>
        <w:rPr/>
      </w:r>
      <w:r>
        <w:br w:type="page"/>
      </w:r>
    </w:p>
    <w:p>
      <w:pPr>
        <w:pStyle w:val="Title"/>
        <w:spacing w:before="0" w:after="0"/>
        <w:rPr/>
      </w:pPr>
      <w:bookmarkStart w:id="1" w:name="_heading=h.30j0zll"/>
      <w:bookmarkEnd w:id="1"/>
      <w:r>
        <w:rPr/>
        <w:t>Lista de abreviaturas, siglas e símbolos</w:t>
      </w:r>
    </w:p>
    <w:p>
      <w:pPr>
        <w:pStyle w:val="Normal"/>
        <w:rPr/>
      </w:pPr>
      <w:r>
        <w:rPr/>
      </w:r>
    </w:p>
    <w:tbl>
      <w:tblPr>
        <w:tblStyle w:val="a"/>
        <w:tblW w:w="9288"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1367"/>
        <w:gridCol w:w="7921"/>
      </w:tblGrid>
      <w:tr>
        <w:trPr/>
        <w:tc>
          <w:tcPr>
            <w:tcW w:w="1367" w:type="dxa"/>
            <w:tcBorders/>
          </w:tcPr>
          <w:p>
            <w:pPr>
              <w:pStyle w:val="Normal"/>
              <w:pBdr/>
              <w:spacing w:lineRule="auto" w:line="240" w:before="120" w:after="120"/>
              <w:jc w:val="start"/>
              <w:rPr>
                <w:b/>
                <w:color w:val="000000"/>
              </w:rPr>
            </w:pPr>
            <w:r>
              <w:rPr>
                <w:b/>
                <w:color w:val="000000"/>
              </w:rPr>
              <w:t>APA</w:t>
            </w:r>
          </w:p>
        </w:tc>
        <w:tc>
          <w:tcPr>
            <w:tcW w:w="7921" w:type="dxa"/>
            <w:tcBorders/>
          </w:tcPr>
          <w:p>
            <w:pPr>
              <w:pStyle w:val="Normal"/>
              <w:rPr/>
            </w:pPr>
            <w:r>
              <w:rPr/>
              <w:t>American Psychiatric Association</w:t>
            </w:r>
          </w:p>
        </w:tc>
      </w:tr>
      <w:tr>
        <w:trPr/>
        <w:tc>
          <w:tcPr>
            <w:tcW w:w="1367" w:type="dxa"/>
            <w:tcBorders/>
          </w:tcPr>
          <w:p>
            <w:pPr>
              <w:pStyle w:val="Normal"/>
              <w:pBdr/>
              <w:spacing w:lineRule="auto" w:line="240" w:before="120" w:after="120"/>
              <w:jc w:val="start"/>
              <w:rPr>
                <w:b/>
                <w:color w:val="000000"/>
              </w:rPr>
            </w:pPr>
            <w:r>
              <w:rPr>
                <w:b/>
                <w:color w:val="000000"/>
              </w:rPr>
              <w:t>CDC</w:t>
            </w:r>
          </w:p>
        </w:tc>
        <w:tc>
          <w:tcPr>
            <w:tcW w:w="7921" w:type="dxa"/>
            <w:tcBorders/>
          </w:tcPr>
          <w:p>
            <w:pPr>
              <w:pStyle w:val="Normal"/>
              <w:rPr/>
            </w:pPr>
            <w:r>
              <w:rPr/>
              <w:t>Center for Disease Control</w:t>
            </w:r>
          </w:p>
        </w:tc>
      </w:tr>
      <w:tr>
        <w:trPr/>
        <w:tc>
          <w:tcPr>
            <w:tcW w:w="1367" w:type="dxa"/>
            <w:tcBorders/>
          </w:tcPr>
          <w:p>
            <w:pPr>
              <w:pStyle w:val="Normal"/>
              <w:pBdr/>
              <w:spacing w:lineRule="auto" w:line="240" w:before="120" w:after="120"/>
              <w:jc w:val="start"/>
              <w:rPr>
                <w:b/>
                <w:color w:val="000000"/>
              </w:rPr>
            </w:pPr>
            <w:r>
              <w:rPr>
                <w:b/>
                <w:color w:val="000000"/>
              </w:rPr>
              <w:t>CEP</w:t>
            </w:r>
          </w:p>
        </w:tc>
        <w:tc>
          <w:tcPr>
            <w:tcW w:w="7921" w:type="dxa"/>
            <w:tcBorders/>
          </w:tcPr>
          <w:p>
            <w:pPr>
              <w:pStyle w:val="Normal"/>
              <w:rPr/>
            </w:pPr>
            <w:r>
              <w:rPr/>
              <w:t>Comitê de Ética em Pesquisa</w:t>
            </w:r>
          </w:p>
        </w:tc>
      </w:tr>
      <w:tr>
        <w:trPr/>
        <w:tc>
          <w:tcPr>
            <w:tcW w:w="1367" w:type="dxa"/>
            <w:tcBorders/>
          </w:tcPr>
          <w:p>
            <w:pPr>
              <w:pStyle w:val="Normal"/>
              <w:pBdr/>
              <w:spacing w:lineRule="auto" w:line="240" w:before="120" w:after="120"/>
              <w:jc w:val="start"/>
              <w:rPr>
                <w:b/>
                <w:color w:val="000000"/>
              </w:rPr>
            </w:pPr>
            <w:r>
              <w:rPr>
                <w:b/>
                <w:color w:val="000000"/>
              </w:rPr>
              <w:t>cm</w:t>
            </w:r>
          </w:p>
        </w:tc>
        <w:tc>
          <w:tcPr>
            <w:tcW w:w="7921" w:type="dxa"/>
            <w:tcBorders/>
          </w:tcPr>
          <w:p>
            <w:pPr>
              <w:pStyle w:val="Normal"/>
              <w:rPr/>
            </w:pPr>
            <w:r>
              <w:rPr/>
              <w:t>centímetro</w:t>
            </w:r>
          </w:p>
        </w:tc>
      </w:tr>
      <w:tr>
        <w:trPr/>
        <w:tc>
          <w:tcPr>
            <w:tcW w:w="1367" w:type="dxa"/>
            <w:tcBorders/>
          </w:tcPr>
          <w:p>
            <w:pPr>
              <w:pStyle w:val="Normal"/>
              <w:pBdr/>
              <w:spacing w:lineRule="auto" w:line="240" w:before="120" w:after="120"/>
              <w:jc w:val="start"/>
              <w:rPr>
                <w:b/>
                <w:color w:val="000000"/>
              </w:rPr>
            </w:pPr>
            <w:r>
              <w:rPr>
                <w:b/>
                <w:color w:val="000000"/>
              </w:rPr>
              <w:t>DP</w:t>
            </w:r>
          </w:p>
        </w:tc>
        <w:tc>
          <w:tcPr>
            <w:tcW w:w="7921" w:type="dxa"/>
            <w:tcBorders/>
          </w:tcPr>
          <w:p>
            <w:pPr>
              <w:pStyle w:val="Normal"/>
              <w:rPr/>
            </w:pPr>
            <w:r>
              <w:rPr/>
              <w:t>Desvio Padrão</w:t>
            </w:r>
          </w:p>
        </w:tc>
      </w:tr>
      <w:tr>
        <w:trPr/>
        <w:tc>
          <w:tcPr>
            <w:tcW w:w="1367" w:type="dxa"/>
            <w:tcBorders/>
          </w:tcPr>
          <w:p>
            <w:pPr>
              <w:pStyle w:val="Normal"/>
              <w:pBdr/>
              <w:spacing w:lineRule="auto" w:line="240" w:before="120" w:after="120"/>
              <w:jc w:val="start"/>
              <w:rPr>
                <w:b/>
                <w:color w:val="000000"/>
              </w:rPr>
            </w:pPr>
            <w:r>
              <w:rPr>
                <w:b/>
                <w:color w:val="000000"/>
              </w:rPr>
              <w:t>DSR</w:t>
            </w:r>
          </w:p>
        </w:tc>
        <w:tc>
          <w:tcPr>
            <w:tcW w:w="7921" w:type="dxa"/>
            <w:tcBorders/>
          </w:tcPr>
          <w:p>
            <w:pPr>
              <w:pStyle w:val="Normal"/>
              <w:rPr/>
            </w:pPr>
            <w:r>
              <w:rPr/>
              <w:t>Design Science Research</w:t>
            </w:r>
          </w:p>
        </w:tc>
      </w:tr>
      <w:tr>
        <w:trPr/>
        <w:tc>
          <w:tcPr>
            <w:tcW w:w="1367" w:type="dxa"/>
            <w:tcBorders/>
          </w:tcPr>
          <w:p>
            <w:pPr>
              <w:pStyle w:val="Normal"/>
              <w:pBdr/>
              <w:spacing w:lineRule="auto" w:line="240" w:before="120" w:after="120"/>
              <w:jc w:val="start"/>
              <w:rPr>
                <w:b/>
                <w:color w:val="000000"/>
              </w:rPr>
            </w:pPr>
            <w:r>
              <w:rPr>
                <w:b/>
                <w:color w:val="000000"/>
              </w:rPr>
              <w:t>Embrapa</w:t>
            </w:r>
          </w:p>
        </w:tc>
        <w:tc>
          <w:tcPr>
            <w:tcW w:w="7921" w:type="dxa"/>
            <w:tcBorders/>
          </w:tcPr>
          <w:p>
            <w:pPr>
              <w:pStyle w:val="Normal"/>
              <w:rPr/>
            </w:pPr>
            <w:r>
              <w:rPr/>
              <w:t>Empresa Brasileira de pesquisa agropecuária</w:t>
            </w:r>
          </w:p>
        </w:tc>
      </w:tr>
      <w:tr>
        <w:trPr/>
        <w:tc>
          <w:tcPr>
            <w:tcW w:w="1367" w:type="dxa"/>
            <w:tcBorders/>
          </w:tcPr>
          <w:p>
            <w:pPr>
              <w:pStyle w:val="Normal"/>
              <w:pBdr/>
              <w:spacing w:lineRule="auto" w:line="240" w:before="120" w:after="120"/>
              <w:jc w:val="start"/>
              <w:rPr>
                <w:b/>
                <w:color w:val="000000"/>
              </w:rPr>
            </w:pPr>
            <w:r>
              <w:rPr>
                <w:b/>
                <w:color w:val="000000"/>
              </w:rPr>
              <w:t>FDA</w:t>
            </w:r>
          </w:p>
        </w:tc>
        <w:tc>
          <w:tcPr>
            <w:tcW w:w="7921" w:type="dxa"/>
            <w:tcBorders/>
          </w:tcPr>
          <w:p>
            <w:pPr>
              <w:pStyle w:val="Normal"/>
              <w:rPr/>
            </w:pPr>
            <w:r>
              <w:rPr/>
              <w:t>Food and Drug Administration</w:t>
            </w:r>
          </w:p>
        </w:tc>
      </w:tr>
      <w:tr>
        <w:trPr/>
        <w:tc>
          <w:tcPr>
            <w:tcW w:w="1367" w:type="dxa"/>
            <w:tcBorders/>
          </w:tcPr>
          <w:p>
            <w:pPr>
              <w:pStyle w:val="Normal"/>
              <w:pBdr/>
              <w:spacing w:lineRule="auto" w:line="240" w:before="120" w:after="120"/>
              <w:jc w:val="start"/>
              <w:rPr>
                <w:b/>
                <w:color w:val="000000"/>
              </w:rPr>
            </w:pPr>
            <w:r>
              <w:rPr>
                <w:b/>
                <w:color w:val="000000"/>
              </w:rPr>
              <w:t>IBGE</w:t>
            </w:r>
          </w:p>
        </w:tc>
        <w:tc>
          <w:tcPr>
            <w:tcW w:w="7921" w:type="dxa"/>
            <w:tcBorders/>
          </w:tcPr>
          <w:p>
            <w:pPr>
              <w:pStyle w:val="Normal"/>
              <w:rPr/>
            </w:pPr>
            <w:r>
              <w:rPr/>
              <w:t>Instituto Brasileiro de Geografia e Estatística</w:t>
            </w:r>
          </w:p>
        </w:tc>
      </w:tr>
      <w:tr>
        <w:trPr/>
        <w:tc>
          <w:tcPr>
            <w:tcW w:w="1367" w:type="dxa"/>
            <w:tcBorders/>
          </w:tcPr>
          <w:p>
            <w:pPr>
              <w:pStyle w:val="Normal"/>
              <w:pBdr/>
              <w:spacing w:lineRule="auto" w:line="240" w:before="120" w:after="120"/>
              <w:jc w:val="start"/>
              <w:rPr>
                <w:b/>
                <w:color w:val="000000"/>
              </w:rPr>
            </w:pPr>
            <w:r>
              <w:rPr>
                <w:b/>
                <w:color w:val="000000"/>
              </w:rPr>
              <w:t>IDH</w:t>
            </w:r>
          </w:p>
        </w:tc>
        <w:tc>
          <w:tcPr>
            <w:tcW w:w="7921" w:type="dxa"/>
            <w:tcBorders/>
          </w:tcPr>
          <w:p>
            <w:pPr>
              <w:pStyle w:val="Normal"/>
              <w:rPr/>
            </w:pPr>
            <w:r>
              <w:rPr/>
              <w:t>Índice de Desenvolvimento Humano</w:t>
            </w:r>
          </w:p>
        </w:tc>
      </w:tr>
      <w:tr>
        <w:trPr/>
        <w:tc>
          <w:tcPr>
            <w:tcW w:w="1367" w:type="dxa"/>
            <w:tcBorders/>
          </w:tcPr>
          <w:p>
            <w:pPr>
              <w:pStyle w:val="Normal"/>
              <w:pBdr/>
              <w:spacing w:lineRule="auto" w:line="240" w:before="120" w:after="120"/>
              <w:jc w:val="start"/>
              <w:rPr>
                <w:b/>
                <w:color w:val="000000"/>
              </w:rPr>
            </w:pPr>
            <w:r>
              <w:rPr>
                <w:b/>
                <w:color w:val="000000"/>
              </w:rPr>
              <w:t>ISAAC</w:t>
            </w:r>
          </w:p>
        </w:tc>
        <w:tc>
          <w:tcPr>
            <w:tcW w:w="7921" w:type="dxa"/>
            <w:tcBorders/>
          </w:tcPr>
          <w:p>
            <w:pPr>
              <w:pStyle w:val="Normal"/>
              <w:rPr>
                <w:lang w:val="en-AU"/>
              </w:rPr>
            </w:pPr>
            <w:r>
              <w:rPr>
                <w:lang w:val="en-AU"/>
              </w:rPr>
              <w:t>International Study of Asthma and Allergies in Childhood</w:t>
            </w:r>
          </w:p>
        </w:tc>
      </w:tr>
      <w:tr>
        <w:trPr/>
        <w:tc>
          <w:tcPr>
            <w:tcW w:w="1367" w:type="dxa"/>
            <w:tcBorders/>
          </w:tcPr>
          <w:p>
            <w:pPr>
              <w:pStyle w:val="Normal"/>
              <w:pBdr/>
              <w:spacing w:lineRule="auto" w:line="240" w:before="120" w:after="120"/>
              <w:jc w:val="start"/>
              <w:rPr>
                <w:b/>
                <w:color w:val="000000"/>
              </w:rPr>
            </w:pPr>
            <w:r>
              <w:rPr>
                <w:b/>
                <w:color w:val="000000"/>
              </w:rPr>
              <w:t>kg</w:t>
            </w:r>
          </w:p>
        </w:tc>
        <w:tc>
          <w:tcPr>
            <w:tcW w:w="7921" w:type="dxa"/>
            <w:tcBorders/>
          </w:tcPr>
          <w:p>
            <w:pPr>
              <w:pStyle w:val="Normal"/>
              <w:rPr/>
            </w:pPr>
            <w:r>
              <w:rPr/>
              <w:t>quilograma</w:t>
            </w:r>
          </w:p>
        </w:tc>
      </w:tr>
      <w:tr>
        <w:trPr/>
        <w:tc>
          <w:tcPr>
            <w:tcW w:w="1367" w:type="dxa"/>
            <w:tcBorders/>
          </w:tcPr>
          <w:p>
            <w:pPr>
              <w:pStyle w:val="Normal"/>
              <w:pBdr/>
              <w:spacing w:lineRule="auto" w:line="240" w:before="120" w:after="120"/>
              <w:jc w:val="start"/>
              <w:rPr>
                <w:b/>
                <w:color w:val="000000"/>
              </w:rPr>
            </w:pPr>
            <w:r>
              <w:rPr>
                <w:b/>
                <w:color w:val="000000"/>
              </w:rPr>
              <w:t>OMS</w:t>
            </w:r>
          </w:p>
        </w:tc>
        <w:tc>
          <w:tcPr>
            <w:tcW w:w="7921" w:type="dxa"/>
            <w:tcBorders/>
          </w:tcPr>
          <w:p>
            <w:pPr>
              <w:pStyle w:val="Normal"/>
              <w:rPr/>
            </w:pPr>
            <w:r>
              <w:rPr/>
              <w:t>Organização Mundial da Saúde</w:t>
            </w:r>
          </w:p>
        </w:tc>
      </w:tr>
      <w:tr>
        <w:trPr/>
        <w:tc>
          <w:tcPr>
            <w:tcW w:w="1367" w:type="dxa"/>
            <w:tcBorders/>
          </w:tcPr>
          <w:p>
            <w:pPr>
              <w:pStyle w:val="Normal"/>
              <w:pBdr/>
              <w:spacing w:lineRule="auto" w:line="240" w:before="120" w:after="120"/>
              <w:jc w:val="start"/>
              <w:rPr>
                <w:b/>
                <w:color w:val="000000"/>
              </w:rPr>
            </w:pPr>
            <w:r>
              <w:rPr>
                <w:b/>
                <w:color w:val="000000"/>
              </w:rPr>
              <w:t>ONU</w:t>
            </w:r>
          </w:p>
        </w:tc>
        <w:tc>
          <w:tcPr>
            <w:tcW w:w="7921" w:type="dxa"/>
            <w:tcBorders/>
          </w:tcPr>
          <w:p>
            <w:pPr>
              <w:pStyle w:val="Normal"/>
              <w:rPr/>
            </w:pPr>
            <w:r>
              <w:rPr/>
              <w:t>Organização das Nações Unidas</w:t>
            </w:r>
          </w:p>
        </w:tc>
      </w:tr>
      <w:tr>
        <w:trPr/>
        <w:tc>
          <w:tcPr>
            <w:tcW w:w="1367" w:type="dxa"/>
            <w:tcBorders/>
          </w:tcPr>
          <w:p>
            <w:pPr>
              <w:pStyle w:val="Normal"/>
              <w:pBdr/>
              <w:spacing w:lineRule="auto" w:line="240" w:before="120" w:after="120"/>
              <w:jc w:val="start"/>
              <w:rPr>
                <w:b/>
                <w:color w:val="000000"/>
              </w:rPr>
            </w:pPr>
            <w:r>
              <w:rPr>
                <w:b/>
                <w:color w:val="000000"/>
              </w:rPr>
              <w:t>Opas</w:t>
            </w:r>
          </w:p>
        </w:tc>
        <w:tc>
          <w:tcPr>
            <w:tcW w:w="7921" w:type="dxa"/>
            <w:tcBorders/>
          </w:tcPr>
          <w:p>
            <w:pPr>
              <w:pStyle w:val="Normal"/>
              <w:rPr/>
            </w:pPr>
            <w:r>
              <w:rPr/>
              <w:t>Organização Panamericana da Saúde</w:t>
            </w:r>
          </w:p>
        </w:tc>
      </w:tr>
      <w:tr>
        <w:trPr/>
        <w:tc>
          <w:tcPr>
            <w:tcW w:w="1367" w:type="dxa"/>
            <w:tcBorders/>
          </w:tcPr>
          <w:p>
            <w:pPr>
              <w:pStyle w:val="Normal"/>
              <w:pBdr/>
              <w:spacing w:lineRule="auto" w:line="240" w:before="120" w:after="120"/>
              <w:jc w:val="start"/>
              <w:rPr>
                <w:b/>
                <w:color w:val="000000"/>
              </w:rPr>
            </w:pPr>
            <w:r>
              <w:rPr>
                <w:b/>
                <w:color w:val="000000"/>
              </w:rPr>
              <w:t>TCA</w:t>
            </w:r>
          </w:p>
        </w:tc>
        <w:tc>
          <w:tcPr>
            <w:tcW w:w="7921" w:type="dxa"/>
            <w:tcBorders/>
          </w:tcPr>
          <w:p>
            <w:pPr>
              <w:pStyle w:val="Normal"/>
              <w:rPr/>
            </w:pPr>
            <w:r>
              <w:rPr/>
              <w:t>Teste Cutâneo Alérgico</w:t>
            </w:r>
          </w:p>
        </w:tc>
      </w:tr>
      <w:tr>
        <w:trPr/>
        <w:tc>
          <w:tcPr>
            <w:tcW w:w="1367" w:type="dxa"/>
            <w:tcBorders/>
          </w:tcPr>
          <w:p>
            <w:pPr>
              <w:pStyle w:val="Normal"/>
              <w:pBdr/>
              <w:spacing w:lineRule="auto" w:line="240" w:before="120" w:after="120"/>
              <w:jc w:val="start"/>
              <w:rPr>
                <w:b/>
                <w:color w:val="000000"/>
              </w:rPr>
            </w:pPr>
            <w:r>
              <w:rPr>
                <w:b/>
                <w:color w:val="000000"/>
              </w:rPr>
              <w:t>Unesco</w:t>
            </w:r>
          </w:p>
        </w:tc>
        <w:tc>
          <w:tcPr>
            <w:tcW w:w="7921" w:type="dxa"/>
            <w:tcBorders/>
          </w:tcPr>
          <w:p>
            <w:pPr>
              <w:pStyle w:val="Normal"/>
              <w:rPr>
                <w:lang w:val="en-AU"/>
              </w:rPr>
            </w:pPr>
            <w:r>
              <w:rPr>
                <w:lang w:val="en-AU"/>
              </w:rPr>
              <w:t>United Nations Educational, Scientific and Cultural Organization</w:t>
            </w:r>
          </w:p>
        </w:tc>
      </w:tr>
    </w:tbl>
    <w:p>
      <w:pPr>
        <w:pStyle w:val="Normal"/>
        <w:rPr>
          <w:lang w:val="en-AU"/>
        </w:rPr>
      </w:pPr>
      <w:r>
        <w:rPr>
          <w:lang w:val="en-AU"/>
        </w:rPr>
      </w:r>
    </w:p>
    <w:p>
      <w:pPr>
        <w:pStyle w:val="Normal"/>
        <w:rPr>
          <w:lang w:val="en-AU"/>
        </w:rPr>
      </w:pPr>
      <w:r>
        <w:rPr>
          <w:lang w:val="en-AU"/>
        </w:rPr>
        <w:t xml:space="preserve">          </w:t>
      </w:r>
    </w:p>
    <w:p>
      <w:pPr>
        <w:pStyle w:val="Title"/>
        <w:rPr>
          <w:lang w:val="en-AU"/>
        </w:rPr>
      </w:pPr>
      <w:r>
        <w:rPr>
          <w:lang w:val="en-AU"/>
        </w:rPr>
      </w:r>
    </w:p>
    <w:p>
      <w:pPr>
        <w:pStyle w:val="Title"/>
        <w:rPr>
          <w:lang w:val="en-AU"/>
        </w:rPr>
      </w:pPr>
      <w:r>
        <w:rPr>
          <w:lang w:val="en-AU"/>
        </w:rPr>
      </w:r>
    </w:p>
    <w:p>
      <w:pPr>
        <w:pStyle w:val="Title"/>
        <w:rPr>
          <w:lang w:val="en-AU"/>
        </w:rPr>
      </w:pPr>
      <w:r>
        <w:rPr>
          <w:lang w:val="en-AU"/>
        </w:rPr>
      </w:r>
    </w:p>
    <w:p>
      <w:pPr>
        <w:pStyle w:val="Title"/>
        <w:rPr>
          <w:lang w:val="en-AU"/>
        </w:rPr>
      </w:pPr>
      <w:r>
        <w:rPr>
          <w:lang w:val="en-AU"/>
        </w:rPr>
      </w:r>
    </w:p>
    <w:p>
      <w:pPr>
        <w:pStyle w:val="Normal"/>
        <w:spacing w:before="0" w:after="0"/>
        <w:rPr>
          <w:lang w:val="en-AU"/>
        </w:rPr>
      </w:pPr>
      <w:r>
        <w:rPr>
          <w:lang w:val="en-AU"/>
        </w:rPr>
      </w:r>
    </w:p>
    <w:p>
      <w:pPr>
        <w:sectPr>
          <w:type w:val="continuous"/>
          <w:pgSz w:w="11906" w:h="16838"/>
          <w:pgMar w:left="1701" w:right="1134" w:gutter="0" w:header="851" w:top="1701" w:footer="851" w:bottom="1134"/>
          <w:formProt w:val="false"/>
          <w:textDirection w:val="lrTb"/>
          <w:docGrid w:type="default" w:linePitch="100" w:charSpace="0"/>
        </w:sectPr>
      </w:pPr>
    </w:p>
    <w:p>
      <w:pPr>
        <w:pStyle w:val="Heading1"/>
        <w:numPr>
          <w:ilvl w:val="0"/>
          <w:numId w:val="2"/>
        </w:numPr>
        <w:rPr/>
      </w:pPr>
      <w:bookmarkStart w:id="2" w:name="_Toc239941381"/>
      <w:r>
        <w:rPr/>
        <w:t>INTRODUÇÃO E JUSTIFICATIVA</w:t>
      </w:r>
      <w:bookmarkEnd w:id="2"/>
    </w:p>
    <w:p>
      <w:pPr>
        <w:pStyle w:val="Normal"/>
        <w:pBdr/>
        <w:ind w:firstLine="709"/>
        <w:rPr>
          <w:color w:val="000000"/>
        </w:rPr>
      </w:pPr>
      <w:r>
        <w:rPr>
          <w:color w:val="000000"/>
        </w:rPr>
        <w:t>Este arquivo foi criado conforme o Guia de Trabalhos acadêmicos disponibilizado pela Biblioteca da Universidade de Caxias do Sul</w:t>
      </w:r>
      <w:r>
        <w:rPr>
          <w:rStyle w:val="FootnoteReference"/>
          <w:color w:val="000000"/>
          <w:vertAlign w:val="superscript"/>
        </w:rPr>
        <w:footnoteReference w:id="2"/>
      </w:r>
    </w:p>
    <w:p>
      <w:pPr>
        <w:pStyle w:val="Normal"/>
        <w:pBdr/>
        <w:ind w:firstLine="709"/>
        <w:rPr>
          <w:color w:val="000000"/>
        </w:rPr>
      </w:pPr>
      <w:r>
        <w:rPr>
          <w:color w:val="000000"/>
        </w:rPr>
        <w:t xml:space="preserve">A Introdução é a parte inicial do trabalho e visa situar o leitor em relação ao tema proposto. Deve fornecer uma visão global da pesquisa realizada, apresentando o tema e delimitando o assunto abordado. Adicionalmente, nessa seção, você deve inserir uma breve revisão da literatura associada com a justificativa do estudo. É importante situar o tema dentro do contexto geral da sua área de trabalho e descrever as motivações que levaram à escolha do tema (LUNARDI, 2020). </w:t>
      </w:r>
    </w:p>
    <w:p>
      <w:pPr>
        <w:pStyle w:val="Heading2"/>
        <w:numPr>
          <w:ilvl w:val="1"/>
          <w:numId w:val="2"/>
        </w:numPr>
        <w:rPr/>
      </w:pPr>
      <w:bookmarkStart w:id="3" w:name="_Toc239941382"/>
      <w:r>
        <w:rPr/>
        <w:t>Justificativa</w:t>
      </w:r>
      <w:bookmarkEnd w:id="3"/>
    </w:p>
    <w:p>
      <w:pPr>
        <w:pStyle w:val="Normal"/>
        <w:pBdr/>
        <w:ind w:firstLine="709"/>
        <w:rPr>
          <w:color w:val="000000"/>
        </w:rPr>
      </w:pPr>
      <w:r>
        <w:rPr>
          <w:color w:val="000000"/>
        </w:rPr>
        <w:t>Em relação à justificativa, deve-se tratar da importância ou significância do estudo. Consiste na apresentação das razões de ordem teórica ou prática que justificam a realização da pesquisa ou do tema proposto para avaliação inicial. Essas questões poderão ser respondidas no âmbito social, institucional ou para a comunidade científica. Uma boa justificativa deverá conter elementos como a contextualização e repercussão do tema embasados no estado da arte (GIL, 2022).</w:t>
      </w:r>
    </w:p>
    <w:p>
      <w:pPr>
        <w:pStyle w:val="Heading2"/>
        <w:numPr>
          <w:ilvl w:val="1"/>
          <w:numId w:val="2"/>
        </w:numPr>
        <w:rPr/>
      </w:pPr>
      <w:bookmarkStart w:id="4" w:name="_Toc239941383"/>
      <w:r>
        <w:rPr/>
        <w:t>Hipótese</w:t>
      </w:r>
      <w:bookmarkEnd w:id="4"/>
    </w:p>
    <w:p>
      <w:pPr>
        <w:pStyle w:val="Normal"/>
        <w:pBdr/>
        <w:ind w:firstLine="709"/>
        <w:rPr>
          <w:color w:val="000000"/>
        </w:rPr>
      </w:pPr>
      <w:r>
        <w:rPr>
          <w:color w:val="000000"/>
        </w:rPr>
        <w:t>É sinônimo de suposição. Neste sentido, hipótese é uma afirmação categórica (uma suposição) que visa responder ao problema levantado no tema escolhido para pesquisa. O trabalho de pesquisa, então, irá confirmar ou negar a hipótese (ou suposição) levantada (GIL, 2022). Exemplos de hipóteses:</w:t>
      </w:r>
    </w:p>
    <w:p>
      <w:pPr>
        <w:pStyle w:val="Normal"/>
        <w:numPr>
          <w:ilvl w:val="0"/>
          <w:numId w:val="4"/>
        </w:numPr>
        <w:pBdr/>
        <w:rPr/>
      </w:pPr>
      <w:r>
        <w:rPr/>
        <w:t>Entre os lactentes que perderam ≥ 5% do peso ao nascer antes de 36 horas de vida, a ingestão de 10 mL de fórmula láctea por meio de uma seringa após cada mamada antes da produção do leite maduro aumentará a probabilidade de sucesso no aleitamento (HULLEY, 2013).</w:t>
      </w:r>
    </w:p>
    <w:p>
      <w:pPr>
        <w:pStyle w:val="Normal"/>
        <w:numPr>
          <w:ilvl w:val="0"/>
          <w:numId w:val="4"/>
        </w:numPr>
        <w:pBdr/>
        <w:rPr/>
      </w:pPr>
      <w:r>
        <w:rPr>
          <w:color w:val="000000"/>
        </w:rPr>
        <w:t>Pacientes com síndrome do impacto femoroacetabular com osteófitos acetabulares centrais não tratados apresentarão resultados relatados pelo paciente inferiores após a terapia artroscópica (YANG et al., 2022).</w:t>
      </w:r>
    </w:p>
    <w:p>
      <w:pPr>
        <w:pStyle w:val="Normal"/>
        <w:numPr>
          <w:ilvl w:val="0"/>
          <w:numId w:val="4"/>
        </w:numPr>
        <w:pBdr/>
        <w:rPr/>
      </w:pPr>
      <w:r>
        <w:rPr>
          <w:color w:val="000000"/>
        </w:rPr>
        <w:t>A definição de estágio 4 da doença renal crônica (DRC) pelas equações baseadas na cistatina-C sérica (Cis-C) poderia identificar pacientes com maior risco de eventos adversos, e consequentemente, com pior prognóstico (TAVARES et al., 2021).</w:t>
      </w:r>
    </w:p>
    <w:p>
      <w:pPr>
        <w:pStyle w:val="Normal"/>
        <w:numPr>
          <w:ilvl w:val="0"/>
          <w:numId w:val="4"/>
        </w:numPr>
        <w:pBdr/>
        <w:rPr/>
      </w:pPr>
      <w:r>
        <w:rPr>
          <w:color w:val="000000"/>
        </w:rPr>
        <w:t xml:space="preserve">A gastrectomia subtotal pode modificar a pressão do esfíncter esofágico inferior (EEI) em consequência do dano anatômico ao próprio EEI, visto que a secção transversa do estômago no terço médio superior corta suas fibras musculares oblíquas (fibras de estilingue - </w:t>
      </w:r>
      <w:r>
        <w:rPr>
          <w:i/>
          <w:color w:val="000000"/>
        </w:rPr>
        <w:t>Sling fibers</w:t>
      </w:r>
      <w:r>
        <w:rPr>
          <w:color w:val="000000"/>
        </w:rPr>
        <w:t>) que são um dos componentes musculares do EEI (KORN et al., 2021).</w:t>
      </w:r>
    </w:p>
    <w:p>
      <w:pPr>
        <w:pStyle w:val="Heading2"/>
        <w:numPr>
          <w:ilvl w:val="1"/>
          <w:numId w:val="2"/>
        </w:numPr>
        <w:rPr/>
      </w:pPr>
      <w:bookmarkStart w:id="5" w:name="_Toc239941384"/>
      <w:r>
        <w:rPr/>
        <w:t>Desfecho Primário</w:t>
      </w:r>
      <w:bookmarkEnd w:id="5"/>
    </w:p>
    <w:p>
      <w:pPr>
        <w:pStyle w:val="Normal"/>
        <w:pBdr/>
        <w:ind w:firstLine="709"/>
        <w:rPr>
          <w:color w:val="000000"/>
        </w:rPr>
      </w:pPr>
      <w:r>
        <w:rPr>
          <w:color w:val="000000"/>
        </w:rPr>
        <w:t>Desfechos primários ou desfechos duros (</w:t>
      </w:r>
      <w:r>
        <w:rPr>
          <w:i/>
          <w:color w:val="000000"/>
        </w:rPr>
        <w:t>hard endpoints</w:t>
      </w:r>
      <w:r>
        <w:rPr>
          <w:color w:val="000000"/>
        </w:rPr>
        <w:t>) são os resultados mais importantes que podem ser obtidos e devem ser determinados antes do início do estudo. Precisam ser bem definidos, medidos objetivamente e especificados em concordância com o objetivo principal da pesquisa. É com base neles que se determina o tamanho da amostra (VIEIRA; HOSSNE, 2021). Alguns exemplos de desfecho primário:</w:t>
      </w:r>
    </w:p>
    <w:p>
      <w:pPr>
        <w:pStyle w:val="Normal"/>
        <w:numPr>
          <w:ilvl w:val="0"/>
          <w:numId w:val="4"/>
        </w:numPr>
        <w:pBdr/>
        <w:rPr/>
      </w:pPr>
      <w:r>
        <w:rPr>
          <w:color w:val="000000"/>
        </w:rPr>
        <w:t>O desfecho primário é o escore de utilidade de qualidade de vida relacionada à saúde (QVRS) após 1 ano avaliado por meio do questionário EuroQol-5D3L (ROSA et al., 2021).</w:t>
      </w:r>
    </w:p>
    <w:p>
      <w:pPr>
        <w:pStyle w:val="Normal"/>
        <w:numPr>
          <w:ilvl w:val="0"/>
          <w:numId w:val="4"/>
        </w:numPr>
        <w:pBdr/>
        <w:rPr/>
      </w:pPr>
      <w:r>
        <w:rPr>
          <w:color w:val="000000"/>
        </w:rPr>
        <w:t>O desfecho primário deste estudo é mortalidade hospitalar por todas as causas enquanto o desfecho secundário deste estudo é composto por morte hospitalar, ocorrência de injúria miocárdica e necessidade de ventilação mecânica (GOMES et al., 2022).</w:t>
      </w:r>
    </w:p>
    <w:p>
      <w:pPr>
        <w:pStyle w:val="Normal"/>
        <w:numPr>
          <w:ilvl w:val="0"/>
          <w:numId w:val="4"/>
        </w:numPr>
        <w:pBdr/>
        <w:rPr/>
      </w:pPr>
      <w:r>
        <w:rPr>
          <w:color w:val="000000"/>
        </w:rPr>
        <w:t>Os desfechos primários do estudo foram mortalidade por todas as causas e doença renal terminal (DRT), definida como o primeiro dia de início da terapia de substituição renal. O óbito foi verificado pela certidão de óbito eletrônica (TAVARES et al., 2021).</w:t>
      </w:r>
    </w:p>
    <w:p>
      <w:pPr>
        <w:pStyle w:val="Normal"/>
        <w:numPr>
          <w:ilvl w:val="0"/>
          <w:numId w:val="4"/>
        </w:numPr>
        <w:pBdr/>
        <w:rPr/>
      </w:pPr>
      <w:r>
        <w:rPr>
          <w:color w:val="000000"/>
        </w:rPr>
        <w:t>Os desfechos oncológicos avaliados foram: recidiva local (recorrência na mama reconstruída), recidiva contralateral, recidiva regional (incluindo cadeias axilar e mamária interna), recidiva à distância e óbito (CAVALCANTE et al., 2022).</w:t>
      </w:r>
    </w:p>
    <w:p>
      <w:pPr>
        <w:pStyle w:val="Normal"/>
        <w:pBdr/>
        <w:spacing w:before="0" w:after="0"/>
        <w:ind w:firstLine="709"/>
        <w:rPr>
          <w:color w:val="000000"/>
        </w:rPr>
        <w:sectPr>
          <w:headerReference w:type="even" r:id="rId13"/>
          <w:headerReference w:type="default" r:id="rId14"/>
          <w:headerReference w:type="first" r:id="rId15"/>
          <w:footerReference w:type="even" r:id="rId16"/>
          <w:footerReference w:type="default" r:id="rId17"/>
          <w:footerReference w:type="first" r:id="rId18"/>
          <w:footnotePr>
            <w:numFmt w:val="decimal"/>
          </w:footnotePr>
          <w:type w:val="nextPage"/>
          <w:pgSz w:w="11906" w:h="16838"/>
          <w:pgMar w:left="1701" w:right="1134" w:gutter="0" w:header="851" w:top="1701" w:footer="851" w:bottom="1134"/>
          <w:pgNumType w:start="1" w:fmt="decimal"/>
          <w:formProt w:val="false"/>
          <w:titlePg/>
          <w:textDirection w:val="lrTb"/>
          <w:docGrid w:type="default" w:linePitch="100" w:charSpace="0"/>
        </w:sectPr>
      </w:pPr>
      <w:r>
        <w:rPr>
          <w:color w:val="000000"/>
        </w:rPr>
      </w:r>
    </w:p>
    <w:p>
      <w:pPr>
        <w:pStyle w:val="Heading1"/>
        <w:numPr>
          <w:ilvl w:val="0"/>
          <w:numId w:val="2"/>
        </w:numPr>
        <w:rPr/>
      </w:pPr>
      <w:bookmarkStart w:id="6" w:name="_Toc239941385"/>
      <w:r>
        <w:rPr/>
        <w:t>OBJETIVOS</w:t>
      </w:r>
      <w:bookmarkEnd w:id="6"/>
    </w:p>
    <w:p>
      <w:pPr>
        <w:pStyle w:val="Heading2"/>
        <w:numPr>
          <w:ilvl w:val="1"/>
          <w:numId w:val="2"/>
        </w:numPr>
        <w:rPr/>
      </w:pPr>
      <w:bookmarkStart w:id="7" w:name="_Toc239941386"/>
      <w:r>
        <w:rPr/>
        <w:t>Objetivo geral</w:t>
      </w:r>
      <w:bookmarkEnd w:id="7"/>
    </w:p>
    <w:p>
      <w:pPr>
        <w:pStyle w:val="Normal"/>
        <w:pBdr/>
        <w:ind w:firstLine="709"/>
        <w:rPr>
          <w:color w:val="000000"/>
        </w:rPr>
      </w:pPr>
      <w:r>
        <w:rPr>
          <w:color w:val="000000"/>
        </w:rPr>
        <w:t>Procure utilizar apenas uma frase para descrever o objetivo geral, iniciando com um verbo no infinitivo. Evite muitos conectores e explicações, pois eles não fazem parte do objetivo geral (LUNARDI, 2020). Exemplos de objetivos:</w:t>
      </w:r>
    </w:p>
    <w:p>
      <w:pPr>
        <w:pStyle w:val="Normal"/>
        <w:numPr>
          <w:ilvl w:val="0"/>
          <w:numId w:val="4"/>
        </w:numPr>
        <w:pBdr/>
        <w:rPr/>
      </w:pPr>
      <w:r>
        <w:rPr>
          <w:color w:val="000000"/>
        </w:rPr>
        <w:t>O objetivo geral deste estudo é avaliar os fatores associados com a QVRS após 1 ano entre pacientes adultos sobreviventes à hospitalização por COVID-19 (ROSA et al., 2021).</w:t>
      </w:r>
    </w:p>
    <w:p>
      <w:pPr>
        <w:pStyle w:val="Normal"/>
        <w:numPr>
          <w:ilvl w:val="0"/>
          <w:numId w:val="4"/>
        </w:numPr>
        <w:pBdr/>
        <w:rPr/>
      </w:pPr>
      <w:r>
        <w:rPr>
          <w:color w:val="000000"/>
        </w:rPr>
        <w:t>Avaliar o impacto do alto risco cardiovascular em pacientes internados em terapia intensiva por COVID-19 (GOMES et al., 2022).</w:t>
      </w:r>
    </w:p>
    <w:p>
      <w:pPr>
        <w:pStyle w:val="Normal"/>
        <w:numPr>
          <w:ilvl w:val="0"/>
          <w:numId w:val="4"/>
        </w:numPr>
        <w:pBdr/>
        <w:rPr/>
      </w:pPr>
      <w:r>
        <w:rPr>
          <w:color w:val="000000"/>
        </w:rPr>
        <w:t>O objetivo deste estudo foi avaliar, em uma coorte de pacientes idosos com DRC, a associação de DRC grave (estágio 4) definida por creatinina séria (Cr) ou Cis-C isoladamente, ou por ambos, com a mortalidade por todas as causas e progressão para DRT (TAVARES et al., 2021).</w:t>
      </w:r>
    </w:p>
    <w:p>
      <w:pPr>
        <w:pStyle w:val="Heading2"/>
        <w:numPr>
          <w:ilvl w:val="1"/>
          <w:numId w:val="2"/>
        </w:numPr>
        <w:rPr/>
      </w:pPr>
      <w:bookmarkStart w:id="8" w:name="_Toc239941387"/>
      <w:r>
        <w:rPr/>
        <w:t>Objetivos específicos</w:t>
      </w:r>
      <w:bookmarkEnd w:id="8"/>
    </w:p>
    <w:p>
      <w:pPr>
        <w:pStyle w:val="Normal"/>
        <w:numPr>
          <w:ilvl w:val="0"/>
          <w:numId w:val="4"/>
        </w:numPr>
        <w:pBdr/>
        <w:ind w:hanging="360" w:start="1134"/>
        <w:rPr/>
      </w:pPr>
      <w:r>
        <w:rPr>
          <w:color w:val="000000"/>
        </w:rPr>
        <w:t xml:space="preserve">Esta seção é uma lista de tópicos. Use uma lista em que cada item é um objetivo. </w:t>
      </w:r>
    </w:p>
    <w:p>
      <w:pPr>
        <w:pStyle w:val="Normal"/>
        <w:numPr>
          <w:ilvl w:val="0"/>
          <w:numId w:val="4"/>
        </w:numPr>
        <w:pBdr/>
        <w:ind w:hanging="360" w:start="1134"/>
        <w:rPr/>
      </w:pPr>
      <w:r>
        <w:rPr>
          <w:color w:val="000000"/>
        </w:rPr>
        <w:t>Procure ser realista e não escreva objetivos muito gerais ou muito abertos;</w:t>
      </w:r>
    </w:p>
    <w:p>
      <w:pPr>
        <w:pStyle w:val="Normal"/>
        <w:numPr>
          <w:ilvl w:val="0"/>
          <w:numId w:val="4"/>
        </w:numPr>
        <w:pBdr/>
        <w:ind w:hanging="360" w:start="1134"/>
        <w:rPr/>
      </w:pPr>
      <w:r>
        <w:rPr>
          <w:color w:val="000000"/>
        </w:rPr>
        <w:t>Evite listar muitos objetivos específicos e defina objetivos que sejam viáveis dentro do prazo que você terá para a execução do seu trabalho;</w:t>
      </w:r>
    </w:p>
    <w:p>
      <w:pPr>
        <w:pStyle w:val="Normal"/>
        <w:numPr>
          <w:ilvl w:val="0"/>
          <w:numId w:val="4"/>
        </w:numPr>
        <w:pBdr/>
        <w:ind w:hanging="360" w:start="1134"/>
        <w:rPr/>
      </w:pPr>
      <w:r>
        <w:rPr>
          <w:color w:val="000000"/>
        </w:rPr>
        <w:t>Evite colocar como objetivos específicos “O estudo ou aprofundamento de alguma coisa”. O estudo é um meio para alcançar o seu objetivo (a não ser que o seu objetivo seja apenas o estudo daquela alguma coisa - o que, usualmente, não deverá ser aceito como um trabalho deste porte);</w:t>
      </w:r>
    </w:p>
    <w:p>
      <w:pPr>
        <w:pStyle w:val="Normal"/>
        <w:numPr>
          <w:ilvl w:val="0"/>
          <w:numId w:val="4"/>
        </w:numPr>
        <w:pBdr/>
        <w:ind w:hanging="360" w:start="1134"/>
        <w:rPr/>
      </w:pPr>
      <w:r>
        <w:rPr>
          <w:color w:val="000000"/>
        </w:rPr>
        <w:t>Você deve evitar o preenchimento de uma sequência de atividades que será realizada (ver metodologia). Essa sequência de atividades é o plano de trabalho e mostra como você irá trabalhar para alcançar os objetivos definidos;</w:t>
      </w:r>
    </w:p>
    <w:p>
      <w:pPr>
        <w:pStyle w:val="Normal"/>
        <w:numPr>
          <w:ilvl w:val="0"/>
          <w:numId w:val="4"/>
        </w:numPr>
        <w:pBdr/>
        <w:ind w:hanging="360" w:start="1134"/>
        <w:rPr/>
      </w:pPr>
      <w:r>
        <w:rPr>
          <w:color w:val="000000"/>
        </w:rPr>
        <w:t>Evite objetivos pessoais e procure descrever objetivos do trabalho.</w:t>
      </w:r>
    </w:p>
    <w:p>
      <w:pPr>
        <w:pStyle w:val="Normal"/>
        <w:rPr/>
      </w:pPr>
      <w:r>
        <w:rPr/>
      </w:r>
    </w:p>
    <w:p>
      <w:pPr>
        <w:pStyle w:val="Heading1"/>
        <w:numPr>
          <w:ilvl w:val="0"/>
          <w:numId w:val="2"/>
        </w:numPr>
        <w:rPr/>
      </w:pPr>
      <w:bookmarkStart w:id="9" w:name="_Toc239941388"/>
      <w:r>
        <w:rPr/>
        <w:t>RISCOS E BENEFÍCIOS</w:t>
      </w:r>
      <w:bookmarkEnd w:id="9"/>
    </w:p>
    <w:p>
      <w:pPr>
        <w:pStyle w:val="Normal"/>
        <w:pBdr/>
        <w:ind w:firstLine="709"/>
        <w:rPr>
          <w:color w:val="000000"/>
        </w:rPr>
      </w:pPr>
      <w:r>
        <w:rPr>
          <w:color w:val="000000"/>
        </w:rPr>
        <w:t xml:space="preserve">De acordo com a Resolução CNS nº 466/12 (BRASIL, 2012) toda pesquisa com seres humanos envolve riscos nas dimensões física, psíquica, moral, intelectual, emocional, social, cultural ou espiritual do ser humano, em tipos e gradações variadas. O pesquisador deve analisar possibilidades de danos imediatos ou posteriores, no plano individual ou coletivo, informando os riscos em todas as etapas da pesquisa e apresentar clara e detalhadamente os procedimentos para evitar, minimizar, corrigir ou sanar os riscos. </w:t>
      </w:r>
      <w:r>
        <w:rPr>
          <w:b/>
          <w:color w:val="000000"/>
        </w:rPr>
        <w:t>Não existe a categoria “sem riscos”.</w:t>
      </w:r>
      <w:r>
        <w:rPr>
          <w:color w:val="000000"/>
        </w:rPr>
        <w:t xml:space="preserve"> Uma vez que há participantes envolvidos na pesquisa, no mínimo, eles abdicam de tempo que poderiam utilizar de outra forma. O envolvimento na pesquisa e a incerteza do seu resultado também trazem algum grau mínimo de apreensão para os participantes da pesquisa e, assim, possui consequências psicológicas.</w:t>
      </w:r>
    </w:p>
    <w:p>
      <w:pPr>
        <w:pStyle w:val="Normal"/>
        <w:pBdr/>
        <w:ind w:firstLine="709"/>
        <w:rPr>
          <w:color w:val="000000"/>
        </w:rPr>
      </w:pPr>
      <w:r>
        <w:rPr>
          <w:color w:val="000000"/>
        </w:rPr>
        <w:t>Ainda de acordo com a Resolução CNS nº 466/12 (BRASIL, 2012) os benefícios da pesquisa devem trazer proveito direto ou indireto, imediato ou posterior, auferido pelo participante e/ou comunidade em decorrência de sua participação, assegurando retorno social, acesso aos procedimentos, produtos ou agentes da pesquisa.</w:t>
      </w:r>
    </w:p>
    <w:p>
      <w:pPr>
        <w:pStyle w:val="Normal"/>
        <w:pBdr/>
        <w:ind w:firstLine="709"/>
        <w:rPr>
          <w:color w:val="000000"/>
        </w:rPr>
      </w:pPr>
      <w:r>
        <w:rPr>
          <w:color w:val="000000"/>
        </w:rPr>
        <w:t>IMPORTANTE: os riscos e medidas minimizadoras devem ser apresentados em forma de TEXTO e não em tópicos.</w:t>
      </w:r>
    </w:p>
    <w:p>
      <w:pPr>
        <w:pStyle w:val="Heading2"/>
        <w:numPr>
          <w:ilvl w:val="1"/>
          <w:numId w:val="2"/>
        </w:numPr>
        <w:rPr/>
      </w:pPr>
      <w:bookmarkStart w:id="10" w:name="_Toc239941389"/>
      <w:r>
        <w:rPr/>
        <w:t>Tipos de riscos associados ao projeto</w:t>
      </w:r>
      <w:bookmarkEnd w:id="10"/>
    </w:p>
    <w:p>
      <w:pPr>
        <w:pStyle w:val="Normal"/>
        <w:pBdr/>
        <w:ind w:firstLine="709"/>
        <w:rPr>
          <w:color w:val="000000"/>
        </w:rPr>
      </w:pPr>
      <w:r>
        <w:rPr>
          <w:color w:val="000000"/>
        </w:rPr>
        <w:t xml:space="preserve">Em relação aos riscos associados à pesquisa o Quadro 1 apresenta alguns exemplos. </w:t>
      </w:r>
    </w:p>
    <w:p>
      <w:pPr>
        <w:pStyle w:val="Normal"/>
        <w:keepNext w:val="true"/>
        <w:pBdr/>
        <w:spacing w:lineRule="auto" w:line="240" w:before="0" w:after="120"/>
        <w:rPr>
          <w:b/>
          <w:color w:val="000000"/>
          <w:sz w:val="22"/>
          <w:szCs w:val="22"/>
        </w:rPr>
      </w:pPr>
      <w:r>
        <w:rPr>
          <w:b/>
          <w:color w:val="000000"/>
          <w:sz w:val="22"/>
          <w:szCs w:val="22"/>
        </w:rPr>
        <w:t>Quadro 1. Tipos de riscos e exemplos</w:t>
      </w:r>
    </w:p>
    <w:tbl>
      <w:tblPr>
        <w:tblStyle w:val="a0"/>
        <w:tblW w:w="9288" w:type="dxa"/>
        <w:jc w:val="start"/>
        <w:tblInd w:w="-115" w:type="dxa"/>
        <w:tblLayout w:type="fixed"/>
        <w:tblCellMar>
          <w:top w:w="0" w:type="dxa"/>
          <w:start w:w="108" w:type="dxa"/>
          <w:bottom w:w="0" w:type="dxa"/>
          <w:end w:w="108" w:type="dxa"/>
        </w:tblCellMar>
        <w:tblLook w:val="0000" w:firstRow="0" w:noVBand="0" w:lastRow="0" w:firstColumn="0" w:lastColumn="0" w:noHBand="0"/>
      </w:tblPr>
      <w:tblGrid>
        <w:gridCol w:w="1668"/>
        <w:gridCol w:w="7620"/>
      </w:tblGrid>
      <w:tr>
        <w:trPr>
          <w:trHeight w:val="297" w:hRule="atLeast"/>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b/>
                <w:color w:val="000000"/>
                <w:sz w:val="20"/>
                <w:szCs w:val="20"/>
              </w:rPr>
            </w:pPr>
            <w:r>
              <w:rPr>
                <w:b/>
                <w:color w:val="000000"/>
                <w:sz w:val="20"/>
                <w:szCs w:val="20"/>
              </w:rPr>
              <w:t>Tipo de risco</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b/>
                <w:color w:val="000000"/>
                <w:sz w:val="20"/>
                <w:szCs w:val="20"/>
              </w:rPr>
            </w:pPr>
            <w:r>
              <w:rPr>
                <w:b/>
                <w:color w:val="000000"/>
                <w:sz w:val="20"/>
                <w:szCs w:val="20"/>
              </w:rPr>
              <w:t>Exemplos</w:t>
            </w:r>
          </w:p>
        </w:tc>
      </w:tr>
      <w:tr>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Risco Físico</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Males associados ao bem-estar físico como, por exemplo, lesão durante procedimentos médicos invasivos ou possíveis efeitos colaterais.</w:t>
            </w:r>
          </w:p>
        </w:tc>
      </w:tr>
      <w:tr>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Dano Moral</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Indução de estados negativos ou comportamento alterado como ansiedade, depressão, culpa, sentimentos de inutilidade, raiva ou medo.</w:t>
            </w:r>
          </w:p>
        </w:tc>
      </w:tr>
      <w:tr>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Risco Social</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Perturbação das redes sociais dos participantes da pesquisa ou alteração nos seus relacionamentos com outras pessoas. Pode envolver estigmatização, vergonha ou perda de respeito.</w:t>
            </w:r>
          </w:p>
        </w:tc>
      </w:tr>
      <w:tr>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Dano Jurídico</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Revelar informações sobre ilicitudes para entidades legais.</w:t>
            </w:r>
          </w:p>
        </w:tc>
      </w:tr>
      <w:tr>
        <w:trPr/>
        <w:tc>
          <w:tcPr>
            <w:tcW w:w="1668"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Risco Financeiro</w:t>
            </w:r>
          </w:p>
        </w:tc>
        <w:tc>
          <w:tcPr>
            <w:tcW w:w="7620"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color w:val="000000"/>
                <w:sz w:val="20"/>
                <w:szCs w:val="20"/>
              </w:rPr>
            </w:pPr>
            <w:r>
              <w:rPr>
                <w:color w:val="000000"/>
                <w:sz w:val="20"/>
                <w:szCs w:val="20"/>
              </w:rPr>
              <w:t>Dificuldade ou despesa financeira direta ou indireta aos participantes devido ao seu envolvimento no projeto de pesquisa.</w:t>
            </w:r>
          </w:p>
        </w:tc>
      </w:tr>
    </w:tbl>
    <w:p>
      <w:pPr>
        <w:pStyle w:val="Normal"/>
        <w:pBdr/>
        <w:spacing w:lineRule="auto" w:line="240" w:before="0" w:after="120"/>
        <w:rPr>
          <w:color w:val="000000"/>
          <w:sz w:val="22"/>
          <w:szCs w:val="22"/>
        </w:rPr>
      </w:pPr>
      <w:r>
        <w:rPr>
          <w:color w:val="000000"/>
          <w:sz w:val="22"/>
          <w:szCs w:val="22"/>
        </w:rPr>
        <w:t>Fonte: (BRASIL, 1996)</w:t>
      </w:r>
    </w:p>
    <w:p>
      <w:pPr>
        <w:pStyle w:val="Heading2"/>
        <w:numPr>
          <w:ilvl w:val="1"/>
          <w:numId w:val="2"/>
        </w:numPr>
        <w:rPr/>
      </w:pPr>
      <w:bookmarkStart w:id="11" w:name="_Toc239941390"/>
      <w:r>
        <w:rPr/>
        <w:t>Níveis dos riscos da pesquisa</w:t>
      </w:r>
      <w:bookmarkEnd w:id="11"/>
    </w:p>
    <w:p>
      <w:pPr>
        <w:pStyle w:val="Normal"/>
        <w:pBdr/>
        <w:ind w:firstLine="709"/>
        <w:rPr>
          <w:i/>
          <w:color w:val="000000"/>
        </w:rPr>
      </w:pPr>
      <w:r>
        <w:rPr>
          <w:color w:val="000000"/>
        </w:rPr>
        <w:t xml:space="preserve">A Resolução 510/2016 (BRASIL, 2016) descreve níveis de risco, </w:t>
      </w:r>
      <w:r>
        <w:rPr>
          <w:i/>
          <w:color w:val="000000"/>
        </w:rPr>
        <w:t>in verbis:</w:t>
      </w:r>
    </w:p>
    <w:p>
      <w:pPr>
        <w:pStyle w:val="Normal"/>
        <w:pBdr/>
        <w:spacing w:lineRule="auto" w:line="240" w:before="120" w:after="120"/>
        <w:ind w:start="2268"/>
        <w:rPr>
          <w:color w:val="000000"/>
          <w:sz w:val="20"/>
          <w:szCs w:val="20"/>
        </w:rPr>
      </w:pPr>
      <w:r>
        <w:rPr>
          <w:color w:val="000000"/>
          <w:sz w:val="20"/>
          <w:szCs w:val="20"/>
        </w:rPr>
        <w:t xml:space="preserve">Art. 21 O risco previsto no protocolo será graduado nos níveis mínimo, baixo, moderado ou elevado, considerando sua magnitude em função de características e circunstâncias do projeto, conforme definição de Resolução específica sobre tipificação e gradação de risco e sobre tramitação dos protocolos. </w:t>
      </w:r>
    </w:p>
    <w:p>
      <w:pPr>
        <w:pStyle w:val="Normal"/>
        <w:pBdr/>
        <w:spacing w:lineRule="auto" w:line="240" w:before="120" w:after="120"/>
        <w:ind w:start="2268"/>
        <w:rPr>
          <w:color w:val="000000"/>
          <w:sz w:val="20"/>
          <w:szCs w:val="20"/>
        </w:rPr>
      </w:pPr>
      <w:r>
        <w:rPr>
          <w:color w:val="000000"/>
          <w:sz w:val="20"/>
          <w:szCs w:val="20"/>
        </w:rPr>
        <w:t xml:space="preserve">§ 1º A tramitação dos protocolos será diferenciada de acordo com a gradação de risco. </w:t>
      </w:r>
    </w:p>
    <w:p>
      <w:pPr>
        <w:pStyle w:val="Normal"/>
        <w:pBdr/>
        <w:spacing w:lineRule="auto" w:line="240" w:before="120" w:after="120"/>
        <w:ind w:start="2268"/>
        <w:rPr>
          <w:color w:val="000000"/>
          <w:sz w:val="20"/>
          <w:szCs w:val="20"/>
        </w:rPr>
      </w:pPr>
      <w:r>
        <w:rPr>
          <w:color w:val="000000"/>
          <w:sz w:val="20"/>
          <w:szCs w:val="20"/>
        </w:rPr>
        <w:t>§ 2º A gradação do risco deve distinguir diferentes níveis de precaução e proteção em relação ao participante da pesquisa.</w:t>
      </w:r>
    </w:p>
    <w:p>
      <w:pPr>
        <w:pStyle w:val="Normal"/>
        <w:pBdr/>
        <w:ind w:firstLine="709"/>
        <w:rPr>
          <w:color w:val="000000"/>
        </w:rPr>
      </w:pPr>
      <w:r>
        <w:rPr>
          <w:color w:val="000000"/>
        </w:rPr>
        <w:t xml:space="preserve">Sendo essa definição alterada pela Resolução 674/2022 (BRASIL, 2022), </w:t>
      </w:r>
      <w:r>
        <w:rPr>
          <w:i/>
          <w:color w:val="000000"/>
        </w:rPr>
        <w:t>in verbis:</w:t>
      </w:r>
    </w:p>
    <w:p>
      <w:pPr>
        <w:pStyle w:val="Normal"/>
        <w:pBdr/>
        <w:spacing w:lineRule="auto" w:line="240" w:before="120" w:after="120"/>
        <w:ind w:start="2268"/>
        <w:rPr>
          <w:color w:val="000000"/>
          <w:sz w:val="20"/>
          <w:szCs w:val="20"/>
        </w:rPr>
      </w:pPr>
      <w:r>
        <w:rPr>
          <w:color w:val="000000"/>
          <w:sz w:val="20"/>
          <w:szCs w:val="20"/>
        </w:rPr>
        <w:t>Art. 30 Na Resolução CNS n° 466, de 12 de dezembro de 2012, Resolução CNS n° 506, de 3 de fevereiro de 2016, e Resolução CNS n° 510, de 7 de abril de 2016, onde se lê “definição e gradação de risco”, entenda-se como “tipificação da pesquisa”; onde se lê “níveis de risco” ou “risco mínimo, baixo, moderado ou elevado”, entenda-se como “tipificação da pesquisa e modalidade de tramitação”, nos termos desta Resolução.</w:t>
      </w:r>
    </w:p>
    <w:p>
      <w:pPr>
        <w:pStyle w:val="Normal"/>
        <w:pBdr/>
        <w:ind w:firstLine="709"/>
        <w:rPr>
          <w:color w:val="000000"/>
        </w:rPr>
      </w:pPr>
      <w:r>
        <w:rPr>
          <w:color w:val="000000"/>
        </w:rPr>
        <w:t>As pesquisas são classificadas segundo o delineamento e o procedimento do estudo, em três tipos: A, B e C. A figura 1 representa esquematicamente os tipos de pesquisa.</w:t>
      </w:r>
    </w:p>
    <w:p>
      <w:pPr>
        <w:pStyle w:val="Normal"/>
        <w:keepNext w:val="true"/>
        <w:pBdr/>
        <w:spacing w:lineRule="auto" w:line="240" w:before="0" w:after="120"/>
        <w:rPr>
          <w:b/>
          <w:color w:val="000000"/>
          <w:sz w:val="22"/>
          <w:szCs w:val="22"/>
        </w:rPr>
      </w:pPr>
      <w:r>
        <w:rPr>
          <w:b/>
          <w:color w:val="000000"/>
          <w:sz w:val="22"/>
          <w:szCs w:val="22"/>
        </w:rPr>
      </w:r>
    </w:p>
    <w:p>
      <w:pPr>
        <w:pStyle w:val="Normal"/>
        <w:keepNext w:val="true"/>
        <w:pBdr/>
        <w:spacing w:lineRule="auto" w:line="240" w:before="0" w:after="120"/>
        <w:rPr>
          <w:b/>
          <w:color w:val="000000"/>
          <w:sz w:val="22"/>
          <w:szCs w:val="22"/>
        </w:rPr>
      </w:pPr>
      <w:r>
        <w:rPr>
          <w:b/>
          <w:color w:val="000000"/>
          <w:sz w:val="22"/>
          <w:szCs w:val="22"/>
        </w:rPr>
        <w:t>Figura 1. Tipificação das pesquisas</w:t>
      </w:r>
    </w:p>
    <w:p>
      <w:pPr>
        <w:pStyle w:val="Normal"/>
        <w:rPr/>
      </w:pPr>
      <w:r>
        <w:rPr/>
        <w:drawing>
          <wp:inline distT="0" distB="0" distL="0" distR="0">
            <wp:extent cx="5655945" cy="396811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9"/>
                    <a:srcRect l="3511" t="0" r="3511" b="0"/>
                    <a:stretch>
                      <a:fillRect/>
                    </a:stretch>
                  </pic:blipFill>
                  <pic:spPr bwMode="auto">
                    <a:xfrm>
                      <a:off x="0" y="0"/>
                      <a:ext cx="5655945" cy="3968115"/>
                    </a:xfrm>
                    <a:prstGeom prst="rect">
                      <a:avLst/>
                    </a:prstGeom>
                    <a:noFill/>
                  </pic:spPr>
                </pic:pic>
              </a:graphicData>
            </a:graphic>
          </wp:inline>
        </w:drawing>
      </w:r>
    </w:p>
    <w:p>
      <w:pPr>
        <w:pStyle w:val="Normal"/>
        <w:pBdr/>
        <w:spacing w:lineRule="auto" w:line="240" w:before="0" w:after="120"/>
        <w:rPr>
          <w:color w:val="000000"/>
          <w:sz w:val="22"/>
          <w:szCs w:val="22"/>
        </w:rPr>
      </w:pPr>
      <w:r>
        <w:rPr>
          <w:color w:val="000000"/>
          <w:sz w:val="22"/>
          <w:szCs w:val="22"/>
        </w:rPr>
        <w:t>Fonte: (BRASIL, 2022)</w:t>
      </w:r>
    </w:p>
    <w:p>
      <w:pPr>
        <w:pStyle w:val="Normal"/>
        <w:pBdr/>
        <w:ind w:firstLine="709"/>
        <w:rPr>
          <w:color w:val="000000"/>
        </w:rPr>
      </w:pPr>
      <w:r>
        <w:rPr>
          <w:color w:val="000000"/>
        </w:rPr>
        <w:t xml:space="preserve">As pesquisas tipo A visam descrever ou compreender fenômenos que aconteceram ou acontecem no cotidiano, não havendo intervenção no corpo humano. Já as pesquisas tipo B visam descrever ou compreender fenômenos que acontecem no cotidiano, havendo intervenção física no corpo humano. E as pesquisas tipo C visam verificar o efeito de produto ou técnica em investigação, deliberadamente aplicado no participante em virtude da pesquisa, de forma prospectiva, com grupo-controle ou não (BRASIL, 2022). </w:t>
      </w:r>
    </w:p>
    <w:p>
      <w:pPr>
        <w:pStyle w:val="Heading2"/>
        <w:numPr>
          <w:ilvl w:val="1"/>
          <w:numId w:val="2"/>
        </w:numPr>
        <w:rPr/>
      </w:pPr>
      <w:bookmarkStart w:id="12" w:name="_Toc239941391"/>
      <w:r>
        <w:rPr/>
        <w:t>Exemplos de riscos e medidas minimizadoras</w:t>
      </w:r>
      <w:bookmarkEnd w:id="12"/>
    </w:p>
    <w:p>
      <w:pPr>
        <w:pStyle w:val="Normal"/>
        <w:pBdr/>
        <w:ind w:firstLine="709"/>
        <w:rPr>
          <w:color w:val="000000"/>
        </w:rPr>
      </w:pPr>
      <w:r>
        <w:rPr>
          <w:color w:val="000000"/>
        </w:rPr>
        <w:t xml:space="preserve">De acordo com a tipificação da pesquisa, alguns exemplos de riscos e danos são listados nos Quadros 2 e 3, bem como medidas minimizadoras. O Quadro 2 trata dos riscos e medidas minimizadoras para pesquisas </w:t>
      </w:r>
      <w:r>
        <w:rPr>
          <w:b/>
          <w:color w:val="000000"/>
        </w:rPr>
        <w:t>sem intervenção no corpo humano</w:t>
      </w:r>
      <w:r>
        <w:rPr>
          <w:color w:val="000000"/>
        </w:rPr>
        <w:t>. Ressalta-se aqui que o conteúdo apresentado é de caráter ilustrativo. O texto do projeto é de responsabilidade dos autores sendo que outros riscos e medidas mitigadoras devem estar alinhados com os objetivos do projeto.</w:t>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ind w:firstLine="709"/>
        <w:rPr>
          <w:color w:val="000000"/>
        </w:rPr>
      </w:pPr>
      <w:r>
        <w:rPr>
          <w:color w:val="000000"/>
        </w:rPr>
      </w:r>
    </w:p>
    <w:p>
      <w:pPr>
        <w:pStyle w:val="Normal"/>
        <w:pBdr/>
        <w:spacing w:lineRule="auto" w:line="240" w:before="0" w:after="120"/>
        <w:rPr>
          <w:b/>
          <w:color w:val="000000"/>
          <w:sz w:val="22"/>
          <w:szCs w:val="22"/>
        </w:rPr>
      </w:pPr>
      <w:r>
        <w:rPr>
          <w:b/>
          <w:color w:val="000000"/>
          <w:sz w:val="22"/>
          <w:szCs w:val="22"/>
        </w:rPr>
      </w:r>
      <w:bookmarkStart w:id="13" w:name="_heading=h.lnxbz9"/>
      <w:bookmarkEnd w:id="13"/>
    </w:p>
    <w:p>
      <w:pPr>
        <w:pStyle w:val="Normal"/>
        <w:pBdr/>
        <w:spacing w:lineRule="auto" w:line="240" w:before="0" w:after="120"/>
        <w:rPr>
          <w:b/>
          <w:color w:val="000000"/>
          <w:sz w:val="22"/>
          <w:szCs w:val="22"/>
        </w:rPr>
      </w:pPr>
      <w:r>
        <w:rPr>
          <w:b/>
          <w:color w:val="000000"/>
          <w:sz w:val="22"/>
          <w:szCs w:val="22"/>
        </w:rPr>
        <w:t>Quadro 2. Exemplos de riscos e medidas mitigadoras para as pesquisas sem intervenção no corpo humano (Pesquisas tipo A)</w:t>
      </w:r>
    </w:p>
    <w:tbl>
      <w:tblPr>
        <w:tblStyle w:val="a1"/>
        <w:tblW w:w="9102" w:type="dxa"/>
        <w:jc w:val="start"/>
        <w:tblInd w:w="-115" w:type="dxa"/>
        <w:tblLayout w:type="fixed"/>
        <w:tblCellMar>
          <w:top w:w="0" w:type="dxa"/>
          <w:start w:w="108" w:type="dxa"/>
          <w:bottom w:w="0" w:type="dxa"/>
          <w:end w:w="108" w:type="dxa"/>
        </w:tblCellMar>
        <w:tblLook w:val="0000" w:firstRow="0" w:noVBand="0" w:lastRow="0" w:firstColumn="0" w:lastColumn="0" w:noHBand="0"/>
      </w:tblPr>
      <w:tblGrid>
        <w:gridCol w:w="4603"/>
        <w:gridCol w:w="4499"/>
      </w:tblGrid>
      <w:tr>
        <w:trPr>
          <w:trHeight w:val="481" w:hRule="atLeast"/>
        </w:trPr>
        <w:tc>
          <w:tcPr>
            <w:tcW w:w="4603"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b/>
                <w:color w:val="000000"/>
                <w:sz w:val="20"/>
                <w:szCs w:val="20"/>
              </w:rPr>
            </w:pPr>
            <w:r>
              <w:rPr>
                <w:b/>
                <w:color w:val="000000"/>
                <w:sz w:val="20"/>
                <w:szCs w:val="20"/>
              </w:rPr>
              <w:t>Riscos ou Danos possíveis</w:t>
            </w:r>
          </w:p>
        </w:tc>
        <w:tc>
          <w:tcPr>
            <w:tcW w:w="4499" w:type="dxa"/>
            <w:tcBorders>
              <w:top w:val="single" w:sz="4" w:space="0" w:color="000000"/>
              <w:start w:val="single" w:sz="4" w:space="0" w:color="000000"/>
              <w:bottom w:val="single" w:sz="4" w:space="0" w:color="000000"/>
              <w:end w:val="single" w:sz="4" w:space="0" w:color="000000"/>
            </w:tcBorders>
          </w:tcPr>
          <w:p>
            <w:pPr>
              <w:pStyle w:val="Normal"/>
              <w:pBdr/>
              <w:spacing w:lineRule="auto" w:line="240" w:before="120" w:after="120"/>
              <w:jc w:val="start"/>
              <w:rPr>
                <w:b/>
                <w:color w:val="000000"/>
                <w:sz w:val="20"/>
                <w:szCs w:val="20"/>
              </w:rPr>
            </w:pPr>
            <w:r>
              <w:rPr>
                <w:b/>
                <w:color w:val="000000"/>
                <w:sz w:val="20"/>
                <w:szCs w:val="20"/>
              </w:rPr>
              <w:t>Medidas Minimizadoras</w:t>
            </w:r>
          </w:p>
        </w:tc>
      </w:tr>
      <w:tr>
        <w:trPr>
          <w:trHeight w:val="1833" w:hRule="atLeast"/>
        </w:trPr>
        <w:tc>
          <w:tcPr>
            <w:tcW w:w="4603" w:type="dxa"/>
            <w:tcBorders>
              <w:top w:val="single" w:sz="4" w:space="0" w:color="000000"/>
              <w:start w:val="single" w:sz="4" w:space="0" w:color="000000"/>
              <w:bottom w:val="single" w:sz="4" w:space="0" w:color="000000"/>
              <w:end w:val="single" w:sz="4" w:space="0" w:color="000000"/>
            </w:tcBorders>
          </w:tcPr>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Reforços na conscientização sobre uma condição física ou psicológica restritiva ou incapacitante;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Estigmatização;</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Alterações de comportamento (Constrangimento; timidez; nervosismo; irritabilidade; incômodo; cansaço; alteração de autoestima; evocação de memórias; etc);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 xml:space="preserve">Quebra de sigilo e confidencialidade;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Exposição a situação vexatória;</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Imprecisão na divulgação dos resultados;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Divulgação de imagem, quando houver filmagens ou registros fotográficos;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Invasão de privacidade;</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Perda e danos físicos aos prontuários;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Utilização do tempo do participante ao responder ao questionário/entrevista;</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Responder a questões sensíveis, tais como atos ilegais, violência, sexualidade;</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Identificar dados de alterações genéticas e ou condições de saúde sem tratamento definido (angústia);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Conflito de interesses x obrigatoriedade de divulgação às autoridades sanitárias de informações sobre a saúde da população;</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Interferência na vida e na rotina dos participantes;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Embaraço de interagir com estranhos, medo de repercussões eventuais;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Uso da amostra para novas pesquisas sem a autorização do sujeito;</w:t>
            </w:r>
          </w:p>
          <w:p>
            <w:pPr>
              <w:pStyle w:val="Normal"/>
              <w:pBdr/>
              <w:tabs>
                <w:tab w:val="clear" w:pos="720"/>
                <w:tab w:val="left" w:pos="171" w:leader="none"/>
              </w:tabs>
              <w:spacing w:lineRule="auto" w:line="240" w:before="120" w:after="120"/>
              <w:jc w:val="start"/>
              <w:rPr>
                <w:color w:val="000000"/>
                <w:sz w:val="20"/>
                <w:szCs w:val="20"/>
              </w:rPr>
            </w:pPr>
            <w:r>
              <w:rPr>
                <w:color w:val="000000"/>
                <w:sz w:val="20"/>
                <w:szCs w:val="20"/>
              </w:rPr>
            </w:r>
          </w:p>
        </w:tc>
        <w:tc>
          <w:tcPr>
            <w:tcW w:w="4499" w:type="dxa"/>
            <w:tcBorders>
              <w:top w:val="single" w:sz="4" w:space="0" w:color="000000"/>
              <w:start w:val="single" w:sz="4" w:space="0" w:color="000000"/>
              <w:bottom w:val="single" w:sz="4" w:space="0" w:color="000000"/>
              <w:end w:val="single" w:sz="4" w:space="0" w:color="000000"/>
            </w:tcBorders>
          </w:tcPr>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Esclarecer e informar a respeito do anonimato e da possibilidade de interromper o processo quando desejar, sem danos e prejuízos à pesquisa e a si próprio.</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Assegurar a confidencialidade e a privacidade, a proteção da imagem e a não estigmatização, garantindo a não utilização das informações em prejuízo das pessoas e/ou das comunidades, inclusive em termos de autoestima, de prestígio e/ou econômico/financeiro.</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uma abordagem cautelosa ao indivíduo considerando e respeitando seus valores, cultura e crenças;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Limitar o acesso aos prontuários apenas pelo tempo, quantidade e qualidade das informações específicas para a pesquisa. </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a não violação e a integridade dos documentos (danos físicos, cópias, rasuras).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o sigilo em relação as suas respostas, as quais serão tidas como confidenciais e utilizadas apenas para fins científicos;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 xml:space="preserve">Garantir o acesso em um ambiente que proporcione privacidade durante a coleta de dados, uma abordagem humanizada, optando-se pela escuta atenta e pelo acolhimento do participante, obtenção de informações, apenas no que diz respeito àquelas necessárias para a pesquisa. </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explicações necessárias para responder as questões.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local reservado e liberdade para não responder questões constrangedoras.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que não haverá interferência dos pesquisadores nos procedimentos habituais do local de estudo ou na vida do participante</w:t>
            </w:r>
          </w:p>
        </w:tc>
      </w:tr>
    </w:tbl>
    <w:p>
      <w:pPr>
        <w:pStyle w:val="Normal"/>
        <w:pBdr/>
        <w:spacing w:lineRule="auto" w:line="240" w:before="0" w:after="120"/>
        <w:rPr>
          <w:color w:val="000000"/>
          <w:sz w:val="22"/>
          <w:szCs w:val="22"/>
        </w:rPr>
      </w:pPr>
      <w:r>
        <w:rPr>
          <w:color w:val="000000"/>
          <w:sz w:val="22"/>
          <w:szCs w:val="22"/>
        </w:rPr>
        <w:t>Fonte: (OPAS, 2005)</w:t>
      </w:r>
    </w:p>
    <w:p>
      <w:pPr>
        <w:pStyle w:val="Normal"/>
        <w:pBdr/>
        <w:ind w:firstLine="709"/>
        <w:rPr>
          <w:color w:val="000000"/>
        </w:rPr>
      </w:pPr>
      <w:r>
        <w:rPr>
          <w:color w:val="000000"/>
        </w:rPr>
        <w:t xml:space="preserve">O Quadro 3 trata dos riscos e medidas minimizadoras para pesquisas </w:t>
      </w:r>
      <w:r>
        <w:rPr>
          <w:b/>
          <w:color w:val="000000"/>
        </w:rPr>
        <w:t>com intervenção no corpo humano</w:t>
      </w:r>
      <w:r>
        <w:rPr>
          <w:color w:val="000000"/>
        </w:rPr>
        <w:t>. Ressalta-se aqui que o conteúdo apresentado de caráter ilustrativo. O texto do projeto é de responsabilidade dos autores sendo que outros riscos e medidas mitigadoras devem estar alinhados com os objetivos do projeto.</w:t>
      </w:r>
    </w:p>
    <w:p>
      <w:pPr>
        <w:pStyle w:val="Normal"/>
        <w:pBdr/>
        <w:ind w:firstLine="709"/>
        <w:rPr>
          <w:color w:val="000000"/>
        </w:rPr>
      </w:pPr>
      <w:r>
        <w:rPr>
          <w:color w:val="000000"/>
        </w:rPr>
      </w:r>
    </w:p>
    <w:p>
      <w:pPr>
        <w:pStyle w:val="Normal"/>
        <w:pBdr/>
        <w:spacing w:lineRule="auto" w:line="240" w:before="0" w:after="120"/>
        <w:rPr>
          <w:b/>
          <w:color w:val="000000"/>
          <w:sz w:val="22"/>
          <w:szCs w:val="22"/>
        </w:rPr>
      </w:pPr>
      <w:r>
        <w:rPr>
          <w:b/>
          <w:color w:val="000000"/>
          <w:sz w:val="22"/>
          <w:szCs w:val="22"/>
        </w:rPr>
        <w:t>Quadro 3. Exemplos de riscos e medidas mitigadoras para as pesquisas sem intervenção no corpo humano (Pesquisas Tipo B e C)</w:t>
      </w:r>
    </w:p>
    <w:tbl>
      <w:tblPr>
        <w:tblStyle w:val="a2"/>
        <w:tblW w:w="9180" w:type="dxa"/>
        <w:jc w:val="start"/>
        <w:tblInd w:w="-115" w:type="dxa"/>
        <w:tblLayout w:type="fixed"/>
        <w:tblCellMar>
          <w:top w:w="0" w:type="dxa"/>
          <w:start w:w="108" w:type="dxa"/>
          <w:bottom w:w="0" w:type="dxa"/>
          <w:end w:w="108" w:type="dxa"/>
        </w:tblCellMar>
        <w:tblLook w:val="0000" w:firstRow="0" w:noVBand="0" w:lastRow="0" w:firstColumn="0" w:lastColumn="0" w:noHBand="0"/>
      </w:tblPr>
      <w:tblGrid>
        <w:gridCol w:w="3227"/>
        <w:gridCol w:w="5953"/>
      </w:tblGrid>
      <w:tr>
        <w:trPr>
          <w:trHeight w:val="2817" w:hRule="atLeast"/>
        </w:trPr>
        <w:tc>
          <w:tcPr>
            <w:tcW w:w="3227" w:type="dxa"/>
            <w:tcBorders>
              <w:top w:val="single" w:sz="4" w:space="0" w:color="000000"/>
              <w:start w:val="single" w:sz="4" w:space="0" w:color="000000"/>
              <w:bottom w:val="single" w:sz="4" w:space="0" w:color="000000"/>
              <w:end w:val="single" w:sz="4" w:space="0" w:color="000000"/>
            </w:tcBorders>
          </w:tcPr>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Constrangimento ao realizar exames antropométricos;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Constrangimento ao se expor durante a realização de testes de qualquer natureza;</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 </w:t>
            </w:r>
            <w:r>
              <w:rPr>
                <w:color w:val="000000"/>
                <w:sz w:val="20"/>
                <w:szCs w:val="20"/>
              </w:rPr>
              <w:t>Riscos físicos como: lesões, hematomas, sangramentos, dores, náusea, tontura, alteração na pressão arterial, entre outros;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Risco de morte;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Toxicidade;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Exposição acentuada a situações de desconforto como exames invasivos;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 xml:space="preserve">Perda de material biológico durante a identificação, armazenamento e/ou transporte; </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Anafilaxia e ocorrência de infecções poderão ser identificadas pelos pesquisadores;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Interferência na vida e na rotina dos sujeitos;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Conflito de interesse patrocinador x pesquisa x participante da pesquisa.</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Duplo padrão (adoção de normas éticas diferentes em pesquisas oriundas de outros países)</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Coerção para participar da pesquisa.</w:t>
            </w:r>
          </w:p>
          <w:p>
            <w:pPr>
              <w:pStyle w:val="Normal"/>
              <w:numPr>
                <w:ilvl w:val="0"/>
                <w:numId w:val="3"/>
              </w:numPr>
              <w:pBdr/>
              <w:tabs>
                <w:tab w:val="clear" w:pos="720"/>
                <w:tab w:val="left" w:pos="171" w:leader="none"/>
              </w:tabs>
              <w:spacing w:lineRule="auto" w:line="240" w:before="120" w:after="120"/>
              <w:ind w:firstLine="29" w:start="0"/>
              <w:jc w:val="start"/>
              <w:rPr/>
            </w:pPr>
            <w:r>
              <w:rPr>
                <w:color w:val="000000"/>
                <w:sz w:val="20"/>
                <w:szCs w:val="20"/>
              </w:rPr>
              <w:t>Descarte inadequado do material (deve seguir as normas da ANVISA e ser informado no TCLE);</w:t>
            </w:r>
          </w:p>
        </w:tc>
        <w:tc>
          <w:tcPr>
            <w:tcW w:w="5953" w:type="dxa"/>
            <w:tcBorders>
              <w:top w:val="single" w:sz="4" w:space="0" w:color="000000"/>
              <w:start w:val="single" w:sz="4" w:space="0" w:color="000000"/>
              <w:bottom w:val="single" w:sz="4" w:space="0" w:color="000000"/>
              <w:end w:val="single" w:sz="4" w:space="0" w:color="000000"/>
            </w:tcBorders>
          </w:tcPr>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Os testes/exames/procedimentos serão realizados por profissionais capacitados e treinados;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Os testes/exames/procedimentos serão realizados em local reservado para evitar possíveis constrangimentos;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que o estudo será suspenso imediatamente ao perceber algum risco ou danos à saúde do participante da pesquisa, não previsto no termo de consentimento;</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 xml:space="preserve">No caso de sangramentos serão aplicadas técnicas de compressão asséptica e utilização de produtos cicatrizantes adequados, sendo realizado por profissional capacitado e treinado; </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 xml:space="preserve">No caso de náuseas, tonturas, alteração de pressão arterial e/ou desmaios, o participante deixará de realizar o procedimento, e será devidamente assistido pela equipe profissional, e caso seja necessário, poderão ser prescritos medicamentos para evitar/minimizar tais riscos; </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No caso de dores, lesões, desconfortos físicos e hematomas, o participante será informado do tempo de duração destes riscos ou danos. A equipe científica estará preparada para reduzir esses danos utilizando analgésicos, compressas frias/quentes, e caso seja necessário, prescrição de medicamentos para evitar/minimizar tais riscos;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No caso de risco de morte e/ou toxicidade, o participante será informado do nível alto de risco a que está sendo sujeito. A equipe de pesquisa utilizará todos os procedimentos e protocolos médicos possíveis para reduzir/evitar que este risco aconteça. O tempo de administração do tratamento (radiação, medicamentoso, químico, estético, etc.) poderá ser aumentado ou diminuído, assim como, a concentração dos tratamentos utilizados poderá ser reduzida nos participantes com o objetivo de minimizar o risco de toxicidade e morte dos participantes;</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 xml:space="preserve">Garantir que o material será devidamente identificado, armazenado e transportado em recipiente específico e procedimentos padrão. Da mesma forma, será garantida a guarda da amostra coletada sob responsabilidade do pesquisador responsável; </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Qualquer intercorrência médica, tais como anafilaxia e/ou infecções serão devidamente tratadas com prescrição medicamentosa por profissional especializado e competente;</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Garantir a assepsia das salas de coleta;</w:t>
            </w:r>
          </w:p>
          <w:p>
            <w:pPr>
              <w:pStyle w:val="Normal"/>
              <w:numPr>
                <w:ilvl w:val="0"/>
                <w:numId w:val="3"/>
              </w:numPr>
              <w:pBdr/>
              <w:tabs>
                <w:tab w:val="clear" w:pos="720"/>
                <w:tab w:val="left" w:pos="177" w:leader="none"/>
              </w:tabs>
              <w:spacing w:lineRule="auto" w:line="240" w:before="120" w:after="120"/>
              <w:ind w:firstLine="29" w:start="0"/>
              <w:jc w:val="start"/>
              <w:rPr/>
            </w:pPr>
            <w:r>
              <w:rPr>
                <w:color w:val="000000"/>
                <w:sz w:val="20"/>
                <w:szCs w:val="20"/>
              </w:rPr>
              <w:t>Informar, no TCLE, de forma clara e completa, as informações relacionadas a coleta, armazenamento, utilização e destino do material biológico.</w:t>
            </w:r>
          </w:p>
        </w:tc>
      </w:tr>
    </w:tbl>
    <w:p>
      <w:pPr>
        <w:pStyle w:val="Normal"/>
        <w:pBdr/>
        <w:spacing w:lineRule="auto" w:line="240" w:before="0" w:after="120"/>
        <w:rPr>
          <w:color w:val="000000"/>
          <w:sz w:val="22"/>
          <w:szCs w:val="22"/>
        </w:rPr>
      </w:pPr>
      <w:r>
        <w:rPr>
          <w:color w:val="000000"/>
          <w:sz w:val="22"/>
          <w:szCs w:val="22"/>
        </w:rPr>
        <w:t>Fonte: (OPAS, 2005)</w:t>
      </w:r>
    </w:p>
    <w:p>
      <w:pPr>
        <w:pStyle w:val="Heading2"/>
        <w:numPr>
          <w:ilvl w:val="1"/>
          <w:numId w:val="2"/>
        </w:numPr>
        <w:rPr/>
      </w:pPr>
      <w:bookmarkStart w:id="14" w:name="_Toc239941392"/>
      <w:r>
        <w:rPr/>
        <w:t>Benefícios</w:t>
      </w:r>
      <w:bookmarkEnd w:id="14"/>
    </w:p>
    <w:p>
      <w:pPr>
        <w:pStyle w:val="Normal"/>
        <w:pBdr/>
        <w:ind w:firstLine="709"/>
        <w:rPr>
          <w:color w:val="000000"/>
        </w:rPr>
      </w:pPr>
      <w:r>
        <w:rPr>
          <w:color w:val="000000"/>
        </w:rPr>
        <w:t>Em relação aos benefícios de uma pesquisa, podem ser considerados a descrição dos benefícios que a participação do participante pode proporcionar a si mesmo; à comunidade participante, para outras pessoas ou à sociedade (BRASIL, 2022). De acordo com o a (OPAS, 2005), alguns possíveis benefícios podem ser:</w:t>
      </w:r>
    </w:p>
    <w:p>
      <w:pPr>
        <w:pStyle w:val="Normal"/>
        <w:numPr>
          <w:ilvl w:val="0"/>
          <w:numId w:val="4"/>
        </w:numPr>
        <w:pBdr/>
        <w:rPr/>
      </w:pPr>
      <w:r>
        <w:rPr>
          <w:color w:val="000000"/>
        </w:rPr>
        <w:t xml:space="preserve"> </w:t>
      </w:r>
      <w:r>
        <w:rPr>
          <w:color w:val="000000"/>
        </w:rPr>
        <w:t xml:space="preserve">desenvolvimento/aprimoramento de metodologias/técnicas/procedimentos; </w:t>
      </w:r>
    </w:p>
    <w:p>
      <w:pPr>
        <w:pStyle w:val="Normal"/>
        <w:numPr>
          <w:ilvl w:val="0"/>
          <w:numId w:val="4"/>
        </w:numPr>
        <w:pBdr/>
        <w:rPr/>
      </w:pPr>
      <w:r>
        <w:rPr>
          <w:color w:val="000000"/>
        </w:rPr>
        <w:t xml:space="preserve">conhecimento da realidade local/regional para desenvolvimento de ações; </w:t>
      </w:r>
    </w:p>
    <w:p>
      <w:pPr>
        <w:pStyle w:val="Normal"/>
        <w:numPr>
          <w:ilvl w:val="0"/>
          <w:numId w:val="4"/>
        </w:numPr>
        <w:pBdr/>
        <w:rPr/>
      </w:pPr>
      <w:r>
        <w:rPr>
          <w:color w:val="000000"/>
        </w:rPr>
        <w:t xml:space="preserve">compreensão de doença considerando aspectos biológicos, clínicos, de transmissibilidade, prevenção, diagnóstico, prognóstico, etc; </w:t>
      </w:r>
    </w:p>
    <w:p>
      <w:pPr>
        <w:pStyle w:val="Normal"/>
        <w:numPr>
          <w:ilvl w:val="0"/>
          <w:numId w:val="4"/>
        </w:numPr>
        <w:pBdr/>
        <w:rPr/>
      </w:pPr>
      <w:r>
        <w:rPr>
          <w:color w:val="000000"/>
        </w:rPr>
        <w:t xml:space="preserve">evidências para apoiar a incorporação de ações; </w:t>
      </w:r>
    </w:p>
    <w:p>
      <w:pPr>
        <w:pStyle w:val="Normal"/>
        <w:numPr>
          <w:ilvl w:val="0"/>
          <w:numId w:val="4"/>
        </w:numPr>
        <w:pBdr/>
        <w:rPr/>
      </w:pPr>
      <w:r>
        <w:rPr>
          <w:color w:val="000000"/>
        </w:rPr>
        <w:t>desenvolvimento de estratégias;</w:t>
      </w:r>
    </w:p>
    <w:p>
      <w:pPr>
        <w:pStyle w:val="Normal"/>
        <w:numPr>
          <w:ilvl w:val="0"/>
          <w:numId w:val="4"/>
        </w:numPr>
        <w:pBdr/>
        <w:rPr/>
      </w:pPr>
      <w:r>
        <w:rPr>
          <w:color w:val="000000"/>
        </w:rPr>
        <w:t>desenvolvimento de material para sensibilização da população; etc.</w:t>
      </w:r>
    </w:p>
    <w:p>
      <w:pPr>
        <w:pStyle w:val="Normal"/>
        <w:pBdr/>
        <w:rPr>
          <w:color w:val="000000"/>
        </w:rPr>
      </w:pPr>
      <w:r>
        <w:rPr>
          <w:color w:val="000000"/>
        </w:rPr>
      </w:r>
    </w:p>
    <w:p>
      <w:pPr>
        <w:pStyle w:val="Normal"/>
        <w:pBdr/>
        <w:rPr>
          <w:highlight w:val="none"/>
          <w:shd w:fill="FFFF00" w:val="clear"/>
        </w:rPr>
      </w:pPr>
      <w:r>
        <w:rPr>
          <w:color w:val="000000"/>
          <w:shd w:fill="FFFF00" w:val="clear"/>
        </w:rPr>
        <w:t>Segue abaixo um exemplo de como redigir a seção “RISCOS E BENEFÍCIOS”:</w:t>
      </w:r>
    </w:p>
    <w:p>
      <w:pPr>
        <w:pStyle w:val="Normal"/>
        <w:pBdr/>
        <w:rPr>
          <w:i/>
          <w:iCs/>
          <w:color w:val="000000"/>
        </w:rPr>
      </w:pPr>
      <w:r>
        <w:rPr>
          <w:color w:val="000000"/>
        </w:rPr>
        <w:t>“</w:t>
      </w:r>
      <w:r>
        <w:rPr>
          <w:b/>
          <w:bCs/>
          <w:i/>
          <w:iCs/>
          <w:color w:val="000000"/>
        </w:rPr>
        <w:t>3.1</w:t>
        <w:tab/>
        <w:t>Tipos de riscos associados ao projeto</w:t>
      </w:r>
    </w:p>
    <w:p>
      <w:pPr>
        <w:pStyle w:val="Normal"/>
        <w:pBdr/>
        <w:ind w:firstLine="720"/>
        <w:rPr>
          <w:i/>
          <w:iCs/>
          <w:color w:val="000000"/>
        </w:rPr>
      </w:pPr>
      <w:r>
        <w:rPr>
          <w:i/>
          <w:iCs/>
          <w:color w:val="000000"/>
        </w:rPr>
        <w:t>Ainda que a pesquisa não proponha qualquer tipo de intervenção, mas fundamentalmente a interpretação de dados obtidos em questionários, e não sendo evidenciado ou publicado, em nenhum momento, a identificação principal do participante, serão mínimos os riscos a que estarão expostos os sujeitos da pesquisa. Dado que o projeto envolve a coleta de informações sensíveis de pacientes oncológicos, isso pode gerar desconforto emocional, especialmente ao abordar questões como depressão, fadiga e qualidade de vida, e consequentemente gerar algum tipo de dano moral. Há também riscos relacionados à privacidade e confidencialidade dos dados dos pacientes, dano jurídico, visto que informações pessoais e de saúde serão coletadas e analisadas. Do ponto de vista clínico, a aplicação de múltiplos questionários pode causar fadiga nos participantes, o que pode comprometer a qualidade das respostas. Além disso, há o risco de viés de resposta, já que as percepções dos pacientes sobre suas necessidades e sintomas podem variar ao longo do tempo ou serem influenciadas por fatores externos, como o contexto de tratamento. Riscos relacionados à adesão dos participantes também devem ser considerados, uma vez que o projeto envolve pacientes de diferentes idades e condições de saúde, o que pode impactar a taxa de participação e a conclusão das avaliações.</w:t>
      </w:r>
    </w:p>
    <w:p>
      <w:pPr>
        <w:pStyle w:val="Normal"/>
        <w:pBdr/>
        <w:rPr>
          <w:b/>
          <w:bCs/>
          <w:i/>
          <w:iCs/>
          <w:color w:val="000000"/>
        </w:rPr>
      </w:pPr>
      <w:r>
        <w:rPr>
          <w:b/>
          <w:bCs/>
          <w:i/>
          <w:iCs/>
          <w:color w:val="000000"/>
        </w:rPr>
      </w:r>
    </w:p>
    <w:p>
      <w:pPr>
        <w:pStyle w:val="Normal"/>
        <w:pBdr/>
        <w:rPr>
          <w:b/>
          <w:bCs/>
          <w:i/>
          <w:iCs/>
          <w:color w:val="000000"/>
        </w:rPr>
      </w:pPr>
      <w:r>
        <w:rPr>
          <w:b/>
          <w:bCs/>
          <w:i/>
          <w:iCs/>
          <w:color w:val="000000"/>
        </w:rPr>
        <w:t>3.2</w:t>
        <w:tab/>
        <w:t>Níveis dos riscos da pesquisa</w:t>
      </w:r>
    </w:p>
    <w:p>
      <w:pPr>
        <w:pStyle w:val="Normal"/>
        <w:pBdr/>
        <w:ind w:firstLine="720"/>
        <w:rPr>
          <w:i/>
          <w:iCs/>
          <w:color w:val="000000"/>
        </w:rPr>
      </w:pPr>
      <w:r>
        <w:rPr>
          <w:i/>
          <w:iCs/>
          <w:color w:val="000000"/>
        </w:rPr>
        <w:t xml:space="preserve">O presente projeto visa descrever ou compreender fenômenos que aconteceram ou acontecem no cotidiano, não havendo intervenção no corpo humano, realizado através de questionários (Pesquisa tipo A). </w:t>
      </w:r>
    </w:p>
    <w:p>
      <w:pPr>
        <w:pStyle w:val="Normal"/>
        <w:pBdr/>
        <w:rPr>
          <w:i/>
          <w:iCs/>
          <w:color w:val="000000"/>
        </w:rPr>
      </w:pPr>
      <w:r>
        <w:rPr>
          <w:i/>
          <w:iCs/>
          <w:color w:val="000000"/>
        </w:rPr>
      </w:r>
    </w:p>
    <w:p>
      <w:pPr>
        <w:pStyle w:val="Normal"/>
        <w:pBdr/>
        <w:rPr>
          <w:b/>
          <w:bCs/>
          <w:i/>
          <w:iCs/>
          <w:color w:val="000000"/>
        </w:rPr>
      </w:pPr>
      <w:r>
        <w:rPr>
          <w:b/>
          <w:bCs/>
          <w:i/>
          <w:iCs/>
          <w:color w:val="000000"/>
        </w:rPr>
        <w:t>3.3</w:t>
        <w:tab/>
        <w:t>Exemplos de riscos e medidas minimizadoras</w:t>
      </w:r>
    </w:p>
    <w:p>
      <w:pPr>
        <w:pStyle w:val="Normal"/>
        <w:pBdr/>
        <w:ind w:firstLine="720"/>
        <w:rPr>
          <w:i/>
          <w:iCs/>
          <w:color w:val="000000"/>
        </w:rPr>
      </w:pPr>
      <w:r>
        <w:rPr>
          <w:i/>
          <w:iCs/>
          <w:color w:val="000000"/>
        </w:rPr>
        <w:t xml:space="preserve">O presente projeto pode apresentar os seguintes riscos: i) reforço na conscientização sobre o câncer e suas comorbidades; ii) evocação de memórias desconfortáveis a respeito do período de tratamento oncológico; iii) quebra de sigilo e confidencialidade das respostas aos questionários; iv) invasão de privacidade em relação às informações pessoais para a caracterização da amostra do projeto; e v) utilização do tempo do participante para responder aos questionários. </w:t>
      </w:r>
    </w:p>
    <w:p>
      <w:pPr>
        <w:pStyle w:val="Normal"/>
        <w:pBdr/>
        <w:ind w:firstLine="720"/>
        <w:rPr>
          <w:i/>
          <w:iCs/>
          <w:color w:val="000000"/>
        </w:rPr>
      </w:pPr>
      <w:r>
        <w:rPr>
          <w:i/>
          <w:iCs/>
          <w:color w:val="000000"/>
        </w:rPr>
        <w:t>Para minimizar tais riscos, tomaremos as seguintes medidas minimizadoras: i) esclareceremos e informaremos a respeito do anonimato e da possibilidade de o paciente interromper o processo quando desejar, sem danos e prejuízos à pesquisa e a si próprio; ii) asseguraremos a confidencialidade e a privacidade, e a não estigmatização, garantindo a não utilização das informações em prejuízo dos participantes, inclusive em termos de autoestima e de prestígio; iii) limitaremos o acesso aos prontuários apenas pelo tempo, quantidade e qualidade das informações específicas para o presente projeto; iv) garantiremos as explicações necessárias para responder todas ou quaisquer questões que serão perguntadas através dos questionários utilizados; e v) garantiremos que não haverá interferência dos pesquisadores ou atraso nos procedimentos habituais do local de estudo ou na vida do participante.</w:t>
      </w:r>
    </w:p>
    <w:p>
      <w:pPr>
        <w:pStyle w:val="Normal"/>
        <w:pBdr/>
        <w:rPr>
          <w:i/>
          <w:iCs/>
          <w:color w:val="000000"/>
        </w:rPr>
      </w:pPr>
      <w:r>
        <w:rPr>
          <w:i/>
          <w:iCs/>
          <w:color w:val="000000"/>
        </w:rPr>
        <w:t>Especificamente, os riscos relacionados com a inadvertida quebra de sigilo, ainda que somente os pesquisadores tenham acesso ao nome do participante no Termo de Consentimento Livre e Esclarecido (TCLE), serão minimizados através de um rigoroso sistema de controle e proteção dos dados. O acesso às informações pessoais será restrito exclusivamente à equipe de pesquisa, e todos os documentos serão armazenados em locais seguros, com acesso controlado por senha. Adicionalmente, todos os pesquisadores envolvidos passarão por treinamentos específicos em ética e proteção de dados, assegurando a conformidade com as diretrizes nacionais e internacionais sobre pesquisa com seres humanos.</w:t>
      </w:r>
    </w:p>
    <w:p>
      <w:pPr>
        <w:pStyle w:val="Normal"/>
        <w:pBdr/>
        <w:rPr>
          <w:i/>
          <w:iCs/>
          <w:color w:val="000000"/>
        </w:rPr>
      </w:pPr>
      <w:r>
        <w:rPr>
          <w:i/>
          <w:iCs/>
          <w:color w:val="000000"/>
        </w:rPr>
        <w:t>Para cada participante do estudo, após a assinatura do TCLE, será atribuído um código identificador único, denominado Número de Identificação do Participante (NIP), com o objetivo de preservar o anonimato. O NIP apresentará o seguinte formato: XX-ZZZZ, onde:</w:t>
      </w:r>
    </w:p>
    <w:p>
      <w:pPr>
        <w:pStyle w:val="Normal"/>
        <w:pBdr/>
        <w:rPr>
          <w:i/>
          <w:iCs/>
          <w:color w:val="000000"/>
        </w:rPr>
      </w:pPr>
      <w:r>
        <w:rPr>
          <w:i/>
          <w:iCs/>
          <w:color w:val="000000"/>
        </w:rPr>
        <w:t>•</w:t>
      </w:r>
      <w:r>
        <w:rPr>
          <w:i/>
          <w:iCs/>
          <w:color w:val="000000"/>
        </w:rPr>
        <w:tab/>
        <w:t>XX: Número da Unidade de Coleta (UC);</w:t>
      </w:r>
    </w:p>
    <w:p>
      <w:pPr>
        <w:pStyle w:val="Normal"/>
        <w:pBdr/>
        <w:rPr>
          <w:i/>
          <w:iCs/>
          <w:color w:val="000000"/>
        </w:rPr>
      </w:pPr>
      <w:r>
        <w:rPr>
          <w:i/>
          <w:iCs/>
          <w:color w:val="000000"/>
        </w:rPr>
        <w:t>•</w:t>
      </w:r>
      <w:r>
        <w:rPr>
          <w:i/>
          <w:iCs/>
          <w:color w:val="000000"/>
        </w:rPr>
        <w:tab/>
        <w:t>ZZZZ: Número sequencial atribuído para cada participante.</w:t>
      </w:r>
    </w:p>
    <w:p>
      <w:pPr>
        <w:pStyle w:val="Normal"/>
        <w:pBdr/>
        <w:rPr>
          <w:i/>
          <w:iCs/>
          <w:color w:val="000000"/>
        </w:rPr>
      </w:pPr>
      <w:r>
        <w:rPr>
          <w:i/>
          <w:iCs/>
          <w:color w:val="000000"/>
        </w:rPr>
        <w:t>Serão utilizadas etiquetas contendo o NIP de cada participante, em número suficiente para identificar os seguintes documentos:</w:t>
      </w:r>
    </w:p>
    <w:p>
      <w:pPr>
        <w:pStyle w:val="Normal"/>
        <w:pBdr/>
        <w:rPr>
          <w:i/>
          <w:iCs/>
          <w:color w:val="000000"/>
        </w:rPr>
      </w:pPr>
      <w:r>
        <w:rPr>
          <w:i/>
          <w:iCs/>
          <w:color w:val="000000"/>
        </w:rPr>
        <w:t>•</w:t>
      </w:r>
      <w:r>
        <w:rPr>
          <w:i/>
          <w:iCs/>
          <w:color w:val="000000"/>
        </w:rPr>
        <w:tab/>
        <w:t>Termo de Consentimento Livre e Esclarecido (TCLE);</w:t>
      </w:r>
    </w:p>
    <w:p>
      <w:pPr>
        <w:pStyle w:val="Normal"/>
        <w:pBdr/>
        <w:rPr>
          <w:i/>
          <w:iCs/>
          <w:color w:val="000000"/>
        </w:rPr>
      </w:pPr>
      <w:r>
        <w:rPr>
          <w:i/>
          <w:iCs/>
          <w:color w:val="000000"/>
        </w:rPr>
        <w:t>•</w:t>
      </w:r>
      <w:r>
        <w:rPr>
          <w:i/>
          <w:iCs/>
          <w:color w:val="000000"/>
        </w:rPr>
        <w:tab/>
        <w:t>Questionário de Registro de Dados;</w:t>
      </w:r>
    </w:p>
    <w:p>
      <w:pPr>
        <w:pStyle w:val="Normal"/>
        <w:pBdr/>
        <w:rPr>
          <w:i/>
          <w:iCs/>
          <w:color w:val="000000"/>
        </w:rPr>
      </w:pPr>
      <w:r>
        <w:rPr>
          <w:i/>
          <w:iCs/>
          <w:color w:val="000000"/>
        </w:rPr>
        <w:t>•</w:t>
      </w:r>
      <w:r>
        <w:rPr>
          <w:i/>
          <w:iCs/>
          <w:color w:val="000000"/>
        </w:rPr>
        <w:tab/>
        <w:t>Formulário de Planejamento e Registro de Aplicação dos Questionários.</w:t>
      </w:r>
    </w:p>
    <w:p>
      <w:pPr>
        <w:pStyle w:val="Normal"/>
        <w:pBdr/>
        <w:rPr>
          <w:b/>
          <w:bCs/>
          <w:i/>
          <w:iCs/>
          <w:color w:val="000000"/>
        </w:rPr>
      </w:pPr>
      <w:r>
        <w:rPr>
          <w:b/>
          <w:bCs/>
          <w:i/>
          <w:iCs/>
          <w:color w:val="000000"/>
        </w:rPr>
      </w:r>
    </w:p>
    <w:p>
      <w:pPr>
        <w:pStyle w:val="Normal"/>
        <w:pBdr/>
        <w:rPr>
          <w:b/>
          <w:bCs/>
          <w:i/>
          <w:iCs/>
          <w:color w:val="000000"/>
        </w:rPr>
      </w:pPr>
      <w:r>
        <w:rPr>
          <w:b/>
          <w:bCs/>
          <w:i/>
          <w:iCs/>
          <w:color w:val="000000"/>
        </w:rPr>
        <w:t>3.4</w:t>
        <w:tab/>
        <w:t>Benefícios</w:t>
      </w:r>
    </w:p>
    <w:p>
      <w:pPr>
        <w:pStyle w:val="Normal"/>
        <w:pBdr/>
        <w:ind w:firstLine="360"/>
        <w:rPr>
          <w:color w:val="000000"/>
        </w:rPr>
      </w:pPr>
      <w:r>
        <w:rPr>
          <w:i/>
          <w:iCs/>
          <w:color w:val="000000"/>
        </w:rPr>
        <w:t>Os principais benefícios esperados desta pesquisa incluem a contribuição para o entendimento de aspectos psicossociais em pacientes com câncer, permitindo a elaboração de futuras intervenções que possam melhorar a qualidade de vida desses indivíduos. Além disso, os participantes podem se sentir valorizados ao contribuir para uma causa científica relevante, o que pode ter um efeito positivo em seu bem-estar emocional.</w:t>
      </w:r>
      <w:r>
        <w:rPr>
          <w:color w:val="000000"/>
        </w:rPr>
        <w:t>”</w:t>
      </w:r>
    </w:p>
    <w:p>
      <w:pPr>
        <w:pStyle w:val="Normal"/>
        <w:pBdr/>
        <w:spacing w:before="0" w:after="0"/>
        <w:rPr>
          <w:color w:val="000000"/>
        </w:rPr>
        <w:sectPr>
          <w:headerReference w:type="even" r:id="rId20"/>
          <w:headerReference w:type="default" r:id="rId21"/>
          <w:headerReference w:type="first" r:id="rId22"/>
          <w:footerReference w:type="default" r:id="rId23"/>
          <w:footerReference w:type="first" r:id="rId24"/>
          <w:footnotePr>
            <w:numFmt w:val="decimal"/>
          </w:footnotePr>
          <w:type w:val="nextPage"/>
          <w:pgSz w:w="11906" w:h="16838"/>
          <w:pgMar w:left="1701" w:right="1134" w:gutter="0" w:header="851" w:top="1701" w:footer="851" w:bottom="1134"/>
          <w:pgNumType w:fmt="decimal"/>
          <w:formProt w:val="false"/>
          <w:titlePg/>
          <w:textDirection w:val="lrTb"/>
          <w:docGrid w:type="default" w:linePitch="100" w:charSpace="0"/>
        </w:sectPr>
      </w:pPr>
      <w:r>
        <w:rPr>
          <w:color w:val="000000"/>
        </w:rPr>
      </w:r>
    </w:p>
    <w:p>
      <w:pPr>
        <w:pStyle w:val="Heading1"/>
        <w:numPr>
          <w:ilvl w:val="0"/>
          <w:numId w:val="2"/>
        </w:numPr>
        <w:rPr/>
      </w:pPr>
      <w:bookmarkStart w:id="15" w:name="_Toc239941393"/>
      <w:r>
        <w:rPr/>
        <w:t>METODOLOGIA</w:t>
      </w:r>
      <w:bookmarkEnd w:id="15"/>
    </w:p>
    <w:p>
      <w:pPr>
        <w:pStyle w:val="Normal"/>
        <w:pBdr/>
        <w:ind w:firstLine="709"/>
        <w:rPr>
          <w:color w:val="000000"/>
        </w:rPr>
      </w:pPr>
      <w:r>
        <w:rPr>
          <w:color w:val="000000"/>
        </w:rPr>
        <w:t xml:space="preserve">Contém informações detalhadas de modo a permitir que outro pesquisador possa reproduzir a pesquisa, caso queira conferir os dados apresentados ou refazê-la em contexto semelhante, para posterior comparação dos resultados. Deste modo, obter uma resposta à questão de pesquisa significa delinear e implementar o estudo de tal forma que minimize a magnitude do erro inferencial (HULLEY, 2013). </w:t>
      </w:r>
    </w:p>
    <w:p>
      <w:pPr>
        <w:pStyle w:val="Normal"/>
        <w:ind w:firstLine="578"/>
        <w:rPr/>
      </w:pPr>
      <w:bookmarkStart w:id="16" w:name="_heading=h.44sinio"/>
      <w:bookmarkEnd w:id="16"/>
      <w:r>
        <w:rPr/>
        <w:t>A seguir, apresenta-se um exemplo de como inserir a metodologia e, após, uma explicação teórica sobre os elementos metodológicos.</w:t>
      </w:r>
    </w:p>
    <w:p>
      <w:pPr>
        <w:pStyle w:val="Heading2"/>
        <w:numPr>
          <w:ilvl w:val="1"/>
          <w:numId w:val="2"/>
        </w:numPr>
        <w:rPr/>
      </w:pPr>
      <w:bookmarkStart w:id="17" w:name="_Toc239941394"/>
      <w:r>
        <w:rPr/>
        <w:t>Delineamento do estudo</w:t>
      </w:r>
      <w:bookmarkEnd w:id="17"/>
    </w:p>
    <w:p>
      <w:pPr>
        <w:pStyle w:val="Normal"/>
        <w:pBdr/>
        <w:ind w:firstLine="578"/>
        <w:rPr>
          <w:color w:val="000000"/>
        </w:rPr>
      </w:pPr>
      <w:r>
        <w:rPr>
          <w:color w:val="000000"/>
        </w:rPr>
        <w:t>Descrever aqui o desenho do estudo. Ex.: Estudo transversal.</w:t>
      </w:r>
    </w:p>
    <w:p>
      <w:pPr>
        <w:pStyle w:val="Normal"/>
        <w:ind w:firstLine="578"/>
        <w:rPr/>
      </w:pPr>
      <w:r>
        <w:rPr/>
        <w:t xml:space="preserve">A metodologia deve conter a classificação da pesquisa e opção metodológica para o estudo. A classificação pode ser feita considerando o objetivo (exploratória, descritiva e explicativa) ou o objeto da pesquisa (revisão bibliográfica, experimental e clínica). As pesquisas exploratórias têm como propósito proporcionar maior familiaridade com o problema, com vistas a torná-lo mais explícito ou a construir hipóteses. Já as pesquisas descritivas têm como objetivo a descrição das características de determinada população ou fenômeno. Entre as pesquisas descritivas, salientam-se aquelas que têm por objetivo estudar as características de um grupo: sua distribuição por idade, sexo, procedência, nível de escolaridade, estado de saúde física e mental etc. Por fim, as pesquisas explicativas têm como propósito identificar fatores que determinam ou contribuem para a ocorrência de fenômenos (GIL, 2022).  </w:t>
      </w:r>
    </w:p>
    <w:p>
      <w:pPr>
        <w:pStyle w:val="Normal"/>
        <w:ind w:firstLine="709"/>
        <w:rPr/>
      </w:pPr>
      <w:r>
        <w:rPr/>
        <w:t xml:space="preserve">Adicionalmente, é importante determinar a opção metodológica do estudo, também chamada de desenho experimental. Alguns dos desenhos mais utilizados são: coorte, transversais, observacionais e estudos clínicos. </w:t>
      </w:r>
      <w:r>
        <w:rPr>
          <w:color w:val="000000"/>
        </w:rPr>
        <w:t>Por exemplo:</w:t>
      </w:r>
    </w:p>
    <w:p>
      <w:pPr>
        <w:pStyle w:val="Normal"/>
        <w:pBdr/>
        <w:rPr>
          <w:color w:val="000000"/>
        </w:rPr>
      </w:pPr>
      <w:r>
        <w:rPr>
          <w:color w:val="000000"/>
        </w:rPr>
        <w:tab/>
        <w:t>[1] “</w:t>
      </w:r>
      <w:r>
        <w:rPr>
          <w:i/>
          <w:iCs/>
          <w:color w:val="000000"/>
        </w:rPr>
        <w:t>O presente projeto se trata de uma pesquisa transversal. Os participantes serão avaliados em um único momento, sem período de seguimento, através de perguntas e questionários validados. O estudo será realizado no Hospital Geral de Caxias do Sul, Rio Grande do Sul.</w:t>
      </w:r>
      <w:r>
        <w:rPr>
          <w:color w:val="000000"/>
        </w:rPr>
        <w:t>”</w:t>
      </w:r>
    </w:p>
    <w:p>
      <w:pPr>
        <w:pStyle w:val="Normal"/>
        <w:ind w:firstLine="709"/>
        <w:rPr/>
      </w:pPr>
      <w:r>
        <w:rPr/>
        <w:t>O Quadro 4 apresenta uma descrição dos desenhos de experimentais.</w:t>
      </w:r>
    </w:p>
    <w:p>
      <w:pPr>
        <w:pStyle w:val="Normal"/>
        <w:ind w:firstLine="709"/>
        <w:rPr/>
      </w:pPr>
      <w:r>
        <w:rPr/>
      </w:r>
    </w:p>
    <w:p>
      <w:pPr>
        <w:pStyle w:val="Normal"/>
        <w:ind w:firstLine="709"/>
        <w:rPr/>
      </w:pPr>
      <w:r>
        <w:rPr/>
      </w:r>
    </w:p>
    <w:p>
      <w:pPr>
        <w:pStyle w:val="Normal"/>
        <w:ind w:firstLine="709"/>
        <w:rPr/>
      </w:pPr>
      <w:r>
        <w:rPr/>
      </w:r>
    </w:p>
    <w:p>
      <w:pPr>
        <w:pStyle w:val="Normal"/>
        <w:ind w:firstLine="709"/>
        <w:rPr/>
      </w:pPr>
      <w:r>
        <w:rPr/>
      </w:r>
    </w:p>
    <w:p>
      <w:pPr>
        <w:pStyle w:val="Normal"/>
        <w:spacing w:lineRule="auto" w:line="240" w:before="0" w:after="120"/>
        <w:rPr>
          <w:b/>
          <w:sz w:val="22"/>
          <w:szCs w:val="22"/>
        </w:rPr>
      </w:pPr>
      <w:bookmarkStart w:id="18" w:name="_heading=h.z337ya"/>
      <w:bookmarkEnd w:id="18"/>
      <w:r>
        <w:rPr>
          <w:b/>
          <w:sz w:val="22"/>
          <w:szCs w:val="22"/>
        </w:rPr>
        <w:t>Quadro 4. Tipos de estudos e seus objetivos</w:t>
      </w:r>
    </w:p>
    <w:tbl>
      <w:tblPr>
        <w:tblStyle w:val="a3"/>
        <w:tblW w:w="9288" w:type="dxa"/>
        <w:jc w:val="start"/>
        <w:tblInd w:w="-115" w:type="dxa"/>
        <w:tblLayout w:type="fixed"/>
        <w:tblCellMar>
          <w:top w:w="0" w:type="dxa"/>
          <w:start w:w="108" w:type="dxa"/>
          <w:bottom w:w="0" w:type="dxa"/>
          <w:end w:w="108" w:type="dxa"/>
        </w:tblCellMar>
        <w:tblLook w:val="0000" w:firstRow="0" w:noVBand="0" w:lastRow="0" w:firstColumn="0" w:lastColumn="0" w:noHBand="0"/>
      </w:tblPr>
      <w:tblGrid>
        <w:gridCol w:w="1949"/>
        <w:gridCol w:w="7339"/>
      </w:tblGrid>
      <w:tr>
        <w:trPr/>
        <w:tc>
          <w:tcPr>
            <w:tcW w:w="194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b/>
                <w:sz w:val="20"/>
                <w:szCs w:val="20"/>
              </w:rPr>
            </w:pPr>
            <w:r>
              <w:rPr>
                <w:b/>
                <w:sz w:val="20"/>
                <w:szCs w:val="20"/>
              </w:rPr>
              <w:t>Tipo de estudo</w:t>
            </w:r>
          </w:p>
        </w:tc>
        <w:tc>
          <w:tcPr>
            <w:tcW w:w="733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b/>
                <w:sz w:val="20"/>
                <w:szCs w:val="20"/>
              </w:rPr>
            </w:pPr>
            <w:r>
              <w:rPr>
                <w:b/>
                <w:sz w:val="20"/>
                <w:szCs w:val="20"/>
              </w:rPr>
              <w:t>Objetivo</w:t>
            </w:r>
          </w:p>
        </w:tc>
      </w:tr>
      <w:tr>
        <w:trPr/>
        <w:tc>
          <w:tcPr>
            <w:tcW w:w="194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Transversal</w:t>
            </w:r>
          </w:p>
        </w:tc>
        <w:tc>
          <w:tcPr>
            <w:tcW w:w="733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Todas as medições são feitas em um único momento, sem período de seguimento. Os delineamentos transversais são úteis quando se quer descrever variáveis e seus padrões de distribuição.</w:t>
            </w:r>
          </w:p>
        </w:tc>
      </w:tr>
      <w:tr>
        <w:trPr/>
        <w:tc>
          <w:tcPr>
            <w:tcW w:w="194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Coorte</w:t>
            </w:r>
          </w:p>
        </w:tc>
        <w:tc>
          <w:tcPr>
            <w:tcW w:w="733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 xml:space="preserve">É constituído por uma amostra de pessoas expostas a determinado fator e outra amostra equivalente de não expostos. A exposição, no entanto, não é aplicada aleatoriamente, pois as condições de seleção da amostra são muito limitadas no estudo de coorte. Os estudos de coorte podem ser classificados em prospectivo e retrospectivo. Em ambos os casos, o grupo é formado no presente, mas enquanto o retrospectivo é seguido em direção ao futuro, o retrospectivo é estudado em relação ao passado. </w:t>
            </w:r>
          </w:p>
        </w:tc>
      </w:tr>
      <w:tr>
        <w:trPr/>
        <w:tc>
          <w:tcPr>
            <w:tcW w:w="194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Caso-controle</w:t>
            </w:r>
          </w:p>
        </w:tc>
        <w:tc>
          <w:tcPr>
            <w:tcW w:w="733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Tem objetivo semelhante ao do estudo de coorte: esclarecer a relação entre exposição a um fator de risco e a doença. Difere deste, no entanto, porque é de natureza retrospectiva, ou seja, parte do efeito para elucidar as causas.</w:t>
            </w:r>
          </w:p>
        </w:tc>
      </w:tr>
      <w:tr>
        <w:trPr/>
        <w:tc>
          <w:tcPr>
            <w:tcW w:w="194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Ensaio Clínico</w:t>
            </w:r>
          </w:p>
        </w:tc>
        <w:tc>
          <w:tcPr>
            <w:tcW w:w="7339" w:type="dxa"/>
            <w:tcBorders>
              <w:top w:val="single" w:sz="4" w:space="0" w:color="000000"/>
              <w:start w:val="single" w:sz="4" w:space="0" w:color="000000"/>
              <w:bottom w:val="single" w:sz="4" w:space="0" w:color="000000"/>
              <w:end w:val="single" w:sz="4" w:space="0" w:color="000000"/>
            </w:tcBorders>
          </w:tcPr>
          <w:p>
            <w:pPr>
              <w:pStyle w:val="Normal"/>
              <w:spacing w:lineRule="auto" w:line="240" w:before="120" w:after="120"/>
              <w:jc w:val="start"/>
              <w:rPr>
                <w:sz w:val="20"/>
                <w:szCs w:val="20"/>
              </w:rPr>
            </w:pPr>
            <w:r>
              <w:rPr>
                <w:sz w:val="20"/>
                <w:szCs w:val="20"/>
              </w:rPr>
              <w:t>Pode ser definido como pesquisa experimental. Inicia com a formulação de um problema, seguido pela construção de hipóteses e demais etapas do processo, que culminam com a redação do relatório. Existem diversas modalidades de ensaios clínicos: ensaio randomizado cego, delineamento fatorial, delineamento randomizado com alocação de grupos, delineamento com grupo de controle não equivalente, delineamento de séries temporais e delineamento cruzado.</w:t>
            </w:r>
          </w:p>
        </w:tc>
      </w:tr>
    </w:tbl>
    <w:p>
      <w:pPr>
        <w:pStyle w:val="Normal"/>
        <w:spacing w:lineRule="auto" w:line="240" w:before="0" w:after="120"/>
        <w:rPr>
          <w:sz w:val="22"/>
          <w:szCs w:val="22"/>
        </w:rPr>
      </w:pPr>
      <w:r>
        <w:rPr>
          <w:sz w:val="22"/>
          <w:szCs w:val="22"/>
        </w:rPr>
        <w:t>Fonte: (GIL, 2022).</w:t>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Heading2"/>
        <w:numPr>
          <w:ilvl w:val="1"/>
          <w:numId w:val="2"/>
        </w:numPr>
        <w:rPr/>
      </w:pPr>
      <w:bookmarkStart w:id="19" w:name="_Toc239941395"/>
      <w:r>
        <w:rPr/>
        <w:t>População da Pesquisa</w:t>
      </w:r>
      <w:bookmarkEnd w:id="19"/>
    </w:p>
    <w:p>
      <w:pPr>
        <w:pStyle w:val="Normal"/>
        <w:pBdr/>
        <w:ind w:firstLine="578"/>
        <w:rPr>
          <w:color w:val="000000"/>
        </w:rPr>
      </w:pPr>
      <w:r>
        <w:rPr>
          <w:color w:val="000000"/>
        </w:rPr>
        <w:t>Descrever aqui a população de pesquisa. Por exemplo:</w:t>
      </w:r>
    </w:p>
    <w:p>
      <w:pPr>
        <w:pStyle w:val="Normal"/>
        <w:pBdr/>
        <w:ind w:firstLine="578"/>
        <w:rPr>
          <w:color w:val="000000"/>
        </w:rPr>
      </w:pPr>
      <w:r>
        <w:rPr>
          <w:color w:val="000000"/>
        </w:rPr>
        <w:t>[1] “</w:t>
      </w:r>
      <w:r>
        <w:rPr>
          <w:i/>
          <w:iCs/>
          <w:color w:val="000000"/>
        </w:rPr>
        <w:t>Pacientes submetidos à cirurgia bariátrica no Hospital Geral de Caxias do Sul entre os períodos X e X.</w:t>
      </w:r>
      <w:r>
        <w:rPr>
          <w:color w:val="000000"/>
        </w:rPr>
        <w:t>”</w:t>
      </w:r>
    </w:p>
    <w:p>
      <w:pPr>
        <w:pStyle w:val="Normal"/>
        <w:pBdr/>
        <w:ind w:firstLine="578"/>
        <w:rPr>
          <w:color w:val="000000"/>
        </w:rPr>
      </w:pPr>
      <w:r>
        <w:rPr>
          <w:color w:val="000000"/>
        </w:rPr>
        <w:t>[2] “</w:t>
      </w:r>
      <w:r>
        <w:rPr>
          <w:i/>
          <w:iCs/>
          <w:color w:val="000000"/>
        </w:rPr>
        <w:t>Pacientes adultos oncológicos durante ou após o tratamento primário para o câncer do Hospital Geral de Caxias do Sul entre os períodos de 2025 e 2026.</w:t>
      </w:r>
      <w:r>
        <w:rPr>
          <w:color w:val="000000"/>
        </w:rPr>
        <w:t>”</w:t>
      </w:r>
    </w:p>
    <w:p>
      <w:pPr>
        <w:pStyle w:val="Heading3"/>
        <w:numPr>
          <w:ilvl w:val="2"/>
          <w:numId w:val="2"/>
        </w:numPr>
        <w:rPr/>
      </w:pPr>
      <w:r>
        <w:rPr/>
        <w:t xml:space="preserve"> </w:t>
      </w:r>
      <w:bookmarkStart w:id="20" w:name="_Toc239941396"/>
      <w:r>
        <w:rPr/>
        <w:t>Critério de inclusão</w:t>
      </w:r>
      <w:bookmarkEnd w:id="20"/>
    </w:p>
    <w:p>
      <w:pPr>
        <w:pStyle w:val="Normal"/>
        <w:pBdr/>
        <w:ind w:firstLine="624"/>
        <w:rPr>
          <w:color w:val="000000"/>
        </w:rPr>
      </w:pPr>
      <w:r>
        <w:rPr>
          <w:color w:val="000000"/>
        </w:rPr>
        <w:t>Descrever todos os critérios de inclusão de forma detalhada. Por exemplo:</w:t>
      </w:r>
    </w:p>
    <w:p>
      <w:pPr>
        <w:pStyle w:val="Normal"/>
        <w:pBdr/>
        <w:ind w:firstLine="624"/>
        <w:rPr>
          <w:color w:val="000000"/>
        </w:rPr>
      </w:pPr>
      <w:r>
        <w:rPr>
          <w:color w:val="000000"/>
        </w:rPr>
        <w:t>[1] “</w:t>
      </w:r>
      <w:r>
        <w:rPr>
          <w:i/>
          <w:iCs/>
          <w:color w:val="000000"/>
        </w:rPr>
        <w:t>Serão incluídos pacientes submetidos à cirurgia bariátrica no HG entre os períodos XXXX e XXXX, com idade igual ou superior a 18 anos, que realizaram o procedimento de bypass gástrico em Y de Roux.</w:t>
      </w:r>
      <w:r>
        <w:rPr>
          <w:color w:val="000000"/>
        </w:rPr>
        <w:t>”</w:t>
      </w:r>
    </w:p>
    <w:p>
      <w:pPr>
        <w:pStyle w:val="Normal"/>
        <w:pBdr/>
        <w:ind w:firstLine="624"/>
        <w:rPr>
          <w:color w:val="000000"/>
        </w:rPr>
      </w:pPr>
      <w:r>
        <w:rPr>
          <w:color w:val="000000"/>
        </w:rPr>
        <w:t>[2] “</w:t>
      </w:r>
      <w:r>
        <w:rPr>
          <w:i/>
          <w:iCs/>
          <w:color w:val="000000"/>
        </w:rPr>
        <w:t>Todos os pacientes que apresentam ou apresentaram um diagnóstico confirmado de câncer, com idade igual ou superior a 18 anos no momento do recrutamento, e que possam fornecer consentimento informado.</w:t>
      </w:r>
      <w:r>
        <w:rPr>
          <w:color w:val="000000"/>
        </w:rPr>
        <w:t>”</w:t>
      </w:r>
    </w:p>
    <w:p>
      <w:pPr>
        <w:pStyle w:val="Heading3"/>
        <w:numPr>
          <w:ilvl w:val="2"/>
          <w:numId w:val="2"/>
        </w:numPr>
        <w:rPr/>
      </w:pPr>
      <w:bookmarkStart w:id="21" w:name="_Toc239941397"/>
      <w:r>
        <w:rPr/>
        <w:t>Critério de exclusão</w:t>
      </w:r>
      <w:bookmarkEnd w:id="21"/>
    </w:p>
    <w:p>
      <w:pPr>
        <w:pStyle w:val="Normal"/>
        <w:pBdr/>
        <w:ind w:firstLine="578"/>
        <w:rPr>
          <w:color w:val="000000"/>
        </w:rPr>
      </w:pPr>
      <w:r>
        <w:rPr>
          <w:color w:val="000000"/>
        </w:rPr>
        <w:t xml:space="preserve">Descrever todos os critérios de exclusão de forma detalhada. </w:t>
      </w:r>
    </w:p>
    <w:p>
      <w:pPr>
        <w:pStyle w:val="Normal"/>
        <w:pBdr/>
        <w:ind w:firstLine="578"/>
        <w:rPr>
          <w:color w:val="000000"/>
        </w:rPr>
      </w:pPr>
      <w:r>
        <w:rPr>
          <w:color w:val="000000"/>
        </w:rPr>
        <w:t>[1] “</w:t>
      </w:r>
      <w:r>
        <w:rPr>
          <w:i/>
          <w:iCs/>
          <w:color w:val="000000"/>
        </w:rPr>
        <w:t>Entre os pacientes que atenderem aos critérios de inclusão, serão excluídos aqueles que apresentarem dados incompletos no prontuário, ausência de informações essenciais para as variáveis do estudo ou registro duplicado.</w:t>
      </w:r>
      <w:r>
        <w:rPr>
          <w:color w:val="000000"/>
        </w:rPr>
        <w:t>”</w:t>
      </w:r>
    </w:p>
    <w:p>
      <w:pPr>
        <w:pStyle w:val="Normal"/>
        <w:pBdr/>
        <w:ind w:firstLine="578"/>
        <w:rPr>
          <w:color w:val="000000"/>
        </w:rPr>
      </w:pPr>
      <w:r>
        <w:rPr>
          <w:color w:val="000000"/>
        </w:rPr>
        <w:t>[2] “</w:t>
      </w:r>
      <w:r>
        <w:rPr>
          <w:i/>
          <w:iCs/>
          <w:color w:val="000000"/>
        </w:rPr>
        <w:t>O projeto não possuí critérios de exclusão e quaisquer pacientes que sejam elegíveis conforme o critério de inclusão serão considerados parte da amostra do presente projeto.</w:t>
      </w:r>
      <w:r>
        <w:rPr>
          <w:color w:val="000000"/>
        </w:rPr>
        <w:t>”</w:t>
      </w:r>
    </w:p>
    <w:p>
      <w:pPr>
        <w:pStyle w:val="Normal"/>
        <w:pBdr/>
        <w:ind w:firstLine="578"/>
        <w:rPr>
          <w:color w:val="000000"/>
        </w:rPr>
      </w:pPr>
      <w:r>
        <w:rPr>
          <w:color w:val="000000"/>
        </w:rPr>
        <w:t>Vale ressaltar que os critérios de exclusão não são simplesmente o oposto dos critérios de inclusão, mas sim uma etapa posterior à seleção inicial dos participantes elegíveis para o projeto.</w:t>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color w:val="000000"/>
        </w:rPr>
      </w:pPr>
      <w:r>
        <w:rPr>
          <w:color w:val="000000"/>
        </w:rPr>
      </w:r>
    </w:p>
    <w:p>
      <w:pPr>
        <w:pStyle w:val="Heading2"/>
        <w:numPr>
          <w:ilvl w:val="1"/>
          <w:numId w:val="2"/>
        </w:numPr>
        <w:rPr/>
      </w:pPr>
      <w:bookmarkStart w:id="22" w:name="_Toc239941398"/>
      <w:r>
        <w:rPr/>
        <w:t>Coleta de dados</w:t>
      </w:r>
      <w:bookmarkEnd w:id="22"/>
    </w:p>
    <w:p>
      <w:pPr>
        <w:pStyle w:val="Normal"/>
        <w:pBdr/>
        <w:ind w:firstLine="578"/>
        <w:rPr>
          <w:color w:val="000000"/>
        </w:rPr>
      </w:pPr>
      <w:r>
        <w:rPr>
          <w:color w:val="000000"/>
        </w:rPr>
        <w:t>Descrever detalhadamente quais dados serão coletados, de que forma, em qual momento, por quem e por meio de quais instrumentos ou fontes. A descrição deve estar alinhada aos objetivos, às hipóteses e aos desfechos do estudo e apresentar informações suficientes para que a coleta possa ser reproduzida por outro pesquisador.</w:t>
      </w:r>
    </w:p>
    <w:p>
      <w:pPr>
        <w:pStyle w:val="Normal"/>
        <w:pBdr/>
        <w:ind w:firstLine="578"/>
        <w:rPr>
          <w:color w:val="000000"/>
        </w:rPr>
      </w:pPr>
      <w:r>
        <w:rPr>
          <w:color w:val="000000"/>
        </w:rPr>
        <w:t>Devem ser informados, quando aplicável:</w:t>
      </w:r>
    </w:p>
    <w:p>
      <w:pPr>
        <w:pStyle w:val="Normal"/>
        <w:pBdr/>
        <w:ind w:firstLine="578"/>
        <w:rPr>
          <w:color w:val="000000"/>
        </w:rPr>
      </w:pPr>
      <w:r>
        <w:rPr>
          <w:color w:val="000000"/>
        </w:rPr>
        <w:t>* o local e o período da coleta;</w:t>
      </w:r>
    </w:p>
    <w:p>
      <w:pPr>
        <w:pStyle w:val="Normal"/>
        <w:pBdr/>
        <w:ind w:firstLine="578"/>
        <w:rPr>
          <w:color w:val="000000"/>
        </w:rPr>
      </w:pPr>
      <w:r>
        <w:rPr>
          <w:color w:val="000000"/>
        </w:rPr>
        <w:t>* a fonte dos dados, como prontuários, questionários, entrevistas, exames, testes físicos, equipamentos ou bancos de dados;</w:t>
      </w:r>
    </w:p>
    <w:p>
      <w:pPr>
        <w:pStyle w:val="Normal"/>
        <w:pBdr/>
        <w:ind w:firstLine="578"/>
        <w:rPr>
          <w:color w:val="000000"/>
        </w:rPr>
      </w:pPr>
      <w:r>
        <w:rPr>
          <w:color w:val="000000"/>
        </w:rPr>
        <w:t>* o procedimento utilizado para identificar, selecionar e incluir os participantes;</w:t>
      </w:r>
    </w:p>
    <w:p>
      <w:pPr>
        <w:pStyle w:val="Normal"/>
        <w:pBdr/>
        <w:ind w:firstLine="578"/>
        <w:rPr>
          <w:color w:val="000000"/>
        </w:rPr>
      </w:pPr>
      <w:r>
        <w:rPr>
          <w:color w:val="000000"/>
        </w:rPr>
        <w:t>* a sequência e a frequência das avaliações;</w:t>
      </w:r>
    </w:p>
    <w:p>
      <w:pPr>
        <w:pStyle w:val="Normal"/>
        <w:pBdr/>
        <w:ind w:firstLine="578"/>
        <w:rPr>
          <w:color w:val="000000"/>
        </w:rPr>
      </w:pPr>
      <w:r>
        <w:rPr>
          <w:color w:val="000000"/>
        </w:rPr>
        <w:t>* os profissionais responsáveis pela coleta e o treinamento ou a padronização dos avaliadores;</w:t>
      </w:r>
    </w:p>
    <w:p>
      <w:pPr>
        <w:pStyle w:val="Normal"/>
        <w:pBdr/>
        <w:ind w:firstLine="578"/>
        <w:rPr>
          <w:color w:val="000000"/>
        </w:rPr>
      </w:pPr>
      <w:r>
        <w:rPr>
          <w:color w:val="000000"/>
        </w:rPr>
        <w:t>* todas as variáveis analisadas, incluindo desfechos, exposições, intervenções, covariáveis e possíveis fatores de confusão;</w:t>
      </w:r>
    </w:p>
    <w:p>
      <w:pPr>
        <w:pStyle w:val="Normal"/>
        <w:pBdr/>
        <w:ind w:firstLine="578"/>
        <w:rPr>
          <w:color w:val="000000"/>
        </w:rPr>
      </w:pPr>
      <w:r>
        <w:rPr>
          <w:color w:val="000000"/>
        </w:rPr>
        <w:t>* a definição operacional de cada variável;</w:t>
      </w:r>
    </w:p>
    <w:p>
      <w:pPr>
        <w:pStyle w:val="Normal"/>
        <w:pBdr/>
        <w:ind w:firstLine="578"/>
        <w:rPr>
          <w:color w:val="000000"/>
        </w:rPr>
      </w:pPr>
      <w:r>
        <w:rPr>
          <w:color w:val="000000"/>
        </w:rPr>
        <w:t>* a forma de mensuração, a unidade de medida e o instrumento utilizado;</w:t>
      </w:r>
    </w:p>
    <w:p>
      <w:pPr>
        <w:pStyle w:val="Normal"/>
        <w:pBdr/>
        <w:ind w:firstLine="578"/>
        <w:rPr>
          <w:color w:val="000000"/>
        </w:rPr>
      </w:pPr>
      <w:r>
        <w:rPr>
          <w:color w:val="000000"/>
        </w:rPr>
        <w:t>* os critérios de classificação ou pontos de corte adotados;</w:t>
      </w:r>
    </w:p>
    <w:p>
      <w:pPr>
        <w:pStyle w:val="Normal"/>
        <w:pBdr/>
        <w:ind w:firstLine="578"/>
        <w:rPr>
          <w:color w:val="000000"/>
        </w:rPr>
      </w:pPr>
      <w:r>
        <w:rPr>
          <w:color w:val="000000"/>
        </w:rPr>
        <w:t>* as referências que fundamentam os instrumentos, protocolos e classificações;</w:t>
      </w:r>
    </w:p>
    <w:p>
      <w:pPr>
        <w:pStyle w:val="Normal"/>
        <w:pBdr/>
        <w:ind w:firstLine="578"/>
        <w:rPr>
          <w:color w:val="000000"/>
        </w:rPr>
      </w:pPr>
      <w:r>
        <w:rPr>
          <w:color w:val="000000"/>
        </w:rPr>
        <w:t>* os procedimentos para registro, codificação, conferência e armazenamento dos dados;</w:t>
      </w:r>
    </w:p>
    <w:p>
      <w:pPr>
        <w:pStyle w:val="Normal"/>
        <w:pBdr/>
        <w:ind w:firstLine="578"/>
        <w:rPr>
          <w:color w:val="000000"/>
        </w:rPr>
      </w:pPr>
      <w:r>
        <w:rPr>
          <w:color w:val="000000"/>
        </w:rPr>
        <w:t>* as estratégias utilizadas para reduzir erros de mensuração e dados ausentes.</w:t>
      </w:r>
    </w:p>
    <w:p>
      <w:pPr>
        <w:pStyle w:val="Normal"/>
        <w:pBdr/>
        <w:ind w:firstLine="578"/>
        <w:rPr>
          <w:color w:val="000000"/>
        </w:rPr>
      </w:pPr>
      <w:r>
        <w:rPr>
          <w:color w:val="000000"/>
        </w:rPr>
        <w:t>Para cada variável, deve-se indicar claramente se o dado será aferido diretamente, autorreferido, extraído de prontuário ou obtido por outro método. Quando forem utilizados instrumentos, escalas, testes ou equipamentos, deverão ser apresentados o nome, a versão, o modo de aplicação, a interpretação dos resultados e, quando pertinente, informações sobre validade e confiabilidade.</w:t>
      </w:r>
    </w:p>
    <w:p>
      <w:pPr>
        <w:pStyle w:val="Normal"/>
        <w:pBdr/>
        <w:ind w:firstLine="578"/>
        <w:rPr>
          <w:color w:val="000000"/>
        </w:rPr>
      </w:pPr>
      <w:r>
        <w:rPr>
          <w:color w:val="000000"/>
        </w:rPr>
        <w:t>Quando houver cálculo ou transformação de variáveis, deve-se descrever a fórmula e o critério de classificação adotado. Em estudos retrospectivos, também deverão ser informados os documentos consultados, os campos extraídos e o procedimento utilizado quando houver informações incompletas ou divergentes. Por exemplo:</w:t>
      </w:r>
    </w:p>
    <w:p>
      <w:pPr>
        <w:pStyle w:val="Normal"/>
        <w:pBdr/>
        <w:ind w:firstLine="578"/>
        <w:rPr>
          <w:color w:val="000000"/>
        </w:rPr>
      </w:pPr>
      <w:r>
        <w:rPr>
          <w:color w:val="000000"/>
        </w:rPr>
        <w:t>[1] “</w:t>
      </w:r>
      <w:r>
        <w:rPr>
          <w:i/>
          <w:iCs/>
          <w:color w:val="000000"/>
        </w:rPr>
        <w:t>Os dados serão coletados por meio da revisão de prontuários de pacientes submetidos a [procedimento], atendidos em [local], entre [data inicial] e [data final]. Inicialmente, os prontuários serão avaliados quanto aos critérios de elegibilidade. Serão coletadas informações sociodemográficas, clínicas e relacionadas ao tratamento, incluindo [descrever variáveis]. O peso corporal e a estatura serão obtidos a partir dos registros realizados na avaliação inicial. O índice de massa corporal será calculado pela divisão do peso, em quilogramas, pela estatura, em metros, elevada ao quadrado, e classificado conforme os critérios de [referência]. Os dados serão registrados em formulário padronizado e conferidos por [procedimento de conferência].</w:t>
      </w:r>
      <w:r>
        <w:rPr>
          <w:color w:val="000000"/>
        </w:rPr>
        <w:t>”</w:t>
      </w:r>
    </w:p>
    <w:p>
      <w:pPr>
        <w:pStyle w:val="Normal"/>
        <w:pBdr/>
        <w:ind w:firstLine="578"/>
        <w:rPr/>
      </w:pPr>
      <w:r>
        <w:rPr>
          <w:color w:val="000000"/>
        </w:rPr>
        <w:t>[2] “</w:t>
      </w:r>
      <w:r>
        <w:rPr>
          <w:i/>
          <w:iCs/>
          <w:color w:val="000000"/>
        </w:rPr>
        <w:t>Os níveis de sintomas de depressão serão avaliados por meio da versão brasileira do instrumento Center for Epidemiologic Studies – Depression (BATISTONI et al., 2010; RADLOFF, 1977; SILVEIRA; JORGE, 2000). O instrumento Center for Epidemiologic Studies – Depression é composto por 20 itens que avaliam os componentes de sintomas somáticos e retardação psicomotora, depressão positiva (afeto positivo invertido), depressão afetiva e interações interpessoais. Cada afirmação é pontuada de acordo com uma escala Likert de quatro pontos (0. Raramente - menos que 1 dia; 1. Durante pouco tempo - 1 ou 2 dias; 2. Durante um tempo moderado - 3 a 4 dias; 3. Durante a maior parte do tempo - de 5 a 7 dias), com pontuação total variando de 0 a 60 pontos, e pontuações mais altas indicando níveis mais elevados de sintomas depressivos. Com base na pontuação total, os participantes serão classificados com risco de depressão clínica se pontuarem acima de 16 pontos.</w:t>
      </w:r>
      <w:r>
        <w:rPr>
          <w:color w:val="000000"/>
        </w:rPr>
        <w:t>”</w:t>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Heading2"/>
        <w:numPr>
          <w:ilvl w:val="1"/>
          <w:numId w:val="2"/>
        </w:numPr>
        <w:rPr/>
      </w:pPr>
      <w:bookmarkStart w:id="23" w:name="_Toc239941399"/>
      <w:r>
        <w:rPr/>
        <w:t>Aspectos éticos</w:t>
      </w:r>
      <w:bookmarkEnd w:id="23"/>
    </w:p>
    <w:p>
      <w:pPr>
        <w:pStyle w:val="Normal"/>
        <w:ind w:firstLine="578"/>
        <w:rPr>
          <w:color w:val="000000"/>
        </w:rPr>
      </w:pPr>
      <w:r>
        <w:rPr>
          <w:color w:val="000000"/>
        </w:rPr>
        <w:t>Descrever os aspectos éticos relacionados à pesquisa, considerando o tipo de estudo, os participantes, os procedimentos, os riscos, os benefícios e as medidas adotadas para garantir privacidade, confidencialidade e proteção dos dados. Quando aplicável, informar a utilização do Termo de Consentimento Livre e Esclarecido (TCLE), do Termo de Compromisso de Utilização de Dados (TCUD) ou de outros documentos pertinentes.</w:t>
      </w:r>
    </w:p>
    <w:p>
      <w:pPr>
        <w:pStyle w:val="Normal"/>
        <w:ind w:firstLine="578"/>
        <w:rPr>
          <w:color w:val="000000"/>
        </w:rPr>
      </w:pPr>
      <w:r>
        <w:rPr>
          <w:color w:val="000000"/>
        </w:rPr>
        <w:t>Os projetos envolvendo seres humanos, seus dados ou materiais biológicos deverão ser submetidos às instâncias institucionais competentes e ao Comitê de Ética em Pesquisa, conforme as Resoluções CNS nº 466/2012 e, quando pertinente, nº 510/2016. Por exemplo:</w:t>
      </w:r>
    </w:p>
    <w:p>
      <w:pPr>
        <w:pStyle w:val="Normal"/>
        <w:ind w:firstLine="578"/>
        <w:rPr>
          <w:color w:val="000000"/>
        </w:rPr>
      </w:pPr>
      <w:r>
        <w:rPr>
          <w:color w:val="000000"/>
        </w:rPr>
        <w:t>[1] “</w:t>
      </w:r>
      <w:r>
        <w:rPr>
          <w:i/>
          <w:iCs/>
          <w:color w:val="000000"/>
        </w:rPr>
        <w:t>O projeto será conduzido de acordo com as normas éticas vigentes para pesquisas envolvendo seres humanos. Inicialmente, será submetido ao COEDI-HG e, após sua aprovação, ao Comitê de Ética em Pesquisa da Universidade de Caxias do Sul. A confidencialidade dos dados será assegurada, e os pesquisadores assinarão o TCUD (Anexo X).</w:t>
      </w:r>
      <w:r>
        <w:rPr>
          <w:color w:val="000000"/>
        </w:rPr>
        <w:t>”</w:t>
      </w:r>
    </w:p>
    <w:p>
      <w:pPr>
        <w:pStyle w:val="Normal"/>
        <w:ind w:firstLine="578"/>
        <w:rPr>
          <w:color w:val="000000"/>
        </w:rPr>
      </w:pPr>
      <w:r>
        <w:rPr>
          <w:color w:val="000000"/>
        </w:rPr>
        <w:t>Quando a apreciação ética não se aplicar, justificar essa condição. Isso pode ocorrer, por exemplo, em revisões de literatura, estudos exclusivamente teóricos ou pesquisas que utilizem apenas informações públicas e não identificáveis, nas situações previstas pelas normas vigentes. Nesses casos, deverá ser informada a natureza dos dados e a justificativa para a não submissão ao Sistema CEP/Conep.</w:t>
      </w:r>
    </w:p>
    <w:p>
      <w:pPr>
        <w:pStyle w:val="Normal"/>
        <w:ind w:firstLine="578"/>
        <w:rPr>
          <w:color w:val="000000"/>
        </w:rPr>
      </w:pPr>
      <w:r>
        <w:rPr>
          <w:color w:val="000000"/>
        </w:rPr>
        <w:t>Exemplo: “A submissão ao Sistema CEP/Conep não se aplica, pois o estudo utilizará exclusivamente dados públicos, agregados e sem possibilidade de identificação individual, sem contato direto com participantes.”</w:t>
      </w:r>
    </w:p>
    <w:p>
      <w:pPr>
        <w:pStyle w:val="Normal"/>
        <w:ind w:firstLine="578"/>
        <w:rPr>
          <w:color w:val="000000"/>
        </w:rPr>
      </w:pPr>
      <w:r>
        <w:rPr>
          <w:color w:val="000000"/>
        </w:rPr>
      </w:r>
    </w:p>
    <w:p>
      <w:pPr>
        <w:pStyle w:val="Normal"/>
        <w:ind w:firstLine="578"/>
        <w:rPr>
          <w:color w:val="000000"/>
        </w:rPr>
      </w:pPr>
      <w:r>
        <w:rPr>
          <w:color w:val="000000"/>
        </w:rPr>
      </w:r>
    </w:p>
    <w:p>
      <w:pPr>
        <w:pStyle w:val="Normal"/>
        <w:ind w:firstLine="578"/>
        <w:rPr>
          <w:color w:val="000000"/>
        </w:rPr>
      </w:pPr>
      <w:r>
        <w:rPr>
          <w:color w:val="000000"/>
        </w:rPr>
      </w:r>
    </w:p>
    <w:p>
      <w:pPr>
        <w:pStyle w:val="Normal"/>
        <w:ind w:firstLine="578"/>
        <w:rPr>
          <w:color w:val="000000"/>
        </w:rPr>
      </w:pPr>
      <w:r>
        <w:rPr>
          <w:color w:val="000000"/>
        </w:rPr>
      </w:r>
    </w:p>
    <w:p>
      <w:pPr>
        <w:pStyle w:val="Normal"/>
        <w:ind w:firstLine="578"/>
        <w:rPr>
          <w:color w:val="000000"/>
        </w:rPr>
      </w:pPr>
      <w:r>
        <w:rPr>
          <w:color w:val="000000"/>
        </w:rPr>
      </w:r>
    </w:p>
    <w:p>
      <w:pPr>
        <w:pStyle w:val="Normal"/>
        <w:ind w:firstLine="578"/>
        <w:rPr/>
      </w:pPr>
      <w:r>
        <w:rPr/>
      </w:r>
    </w:p>
    <w:p>
      <w:pPr>
        <w:pStyle w:val="Heading2"/>
        <w:numPr>
          <w:ilvl w:val="1"/>
          <w:numId w:val="2"/>
        </w:numPr>
        <w:rPr/>
      </w:pPr>
      <w:bookmarkStart w:id="24" w:name="_Toc239941400"/>
      <w:r>
        <w:rPr/>
        <w:t>Metodologia de análise de dados</w:t>
      </w:r>
      <w:bookmarkEnd w:id="24"/>
    </w:p>
    <w:p>
      <w:pPr>
        <w:pStyle w:val="Normal"/>
        <w:pBdr/>
        <w:ind w:firstLine="578"/>
        <w:rPr>
          <w:color w:val="000000"/>
        </w:rPr>
      </w:pPr>
      <w:r>
        <w:rPr>
          <w:color w:val="000000"/>
        </w:rPr>
        <w:t>Descrever como os dados serão analisados, considerando os objetivos, as hipóteses, os desfechos e o delineamento do estudo. Para cada hipótese, deverão ser indicadas as variáveis envolvidas e o teste estatístico ou modelo de análise correspondente.</w:t>
      </w:r>
    </w:p>
    <w:p>
      <w:pPr>
        <w:pStyle w:val="Normal"/>
        <w:pBdr/>
        <w:ind w:firstLine="578"/>
        <w:rPr>
          <w:color w:val="000000"/>
        </w:rPr>
      </w:pPr>
      <w:r>
        <w:rPr>
          <w:color w:val="000000"/>
        </w:rPr>
        <w:t>Apresentar também as medidas de estatística descritiva (frequências, média/mediana, desvio padrão/erro padrão/intervalo de confiança a 95%/ intervalo interquartil/percentis), os critérios para verificação dos pressupostos dos testes, o nível de significância adotado, as medidas de efeito e seus respectivos intervalos de confiança, além do programa estatístico utilizado. Por exemplo:</w:t>
      </w:r>
    </w:p>
    <w:p>
      <w:pPr>
        <w:pStyle w:val="Normal"/>
        <w:pBdr/>
        <w:ind w:firstLine="578"/>
        <w:rPr>
          <w:i/>
          <w:iCs/>
          <w:color w:val="000000"/>
        </w:rPr>
      </w:pPr>
      <w:r>
        <w:rPr>
          <w:color w:val="000000"/>
        </w:rPr>
        <w:t>[1] “</w:t>
      </w:r>
      <w:r>
        <w:rPr>
          <w:i/>
          <w:iCs/>
          <w:color w:val="000000"/>
        </w:rPr>
        <w:t>Inicialmente, os dados serão analisados por meio de estatística descritiva. As variáveis quantitativas serão apresentadas em média e desvio-padrão ou mediana e intervalo interquartil, conforme a distribuição dos dados, enquanto as variáveis qualitativas serão expressas em frequências absoluta e relativa.</w:t>
      </w:r>
    </w:p>
    <w:p>
      <w:pPr>
        <w:pStyle w:val="Normal"/>
        <w:pBdr/>
        <w:ind w:firstLine="578"/>
        <w:rPr>
          <w:i/>
          <w:iCs/>
          <w:color w:val="000000"/>
        </w:rPr>
      </w:pPr>
      <w:r>
        <w:rPr>
          <w:i/>
          <w:iCs/>
          <w:color w:val="000000"/>
        </w:rPr>
        <w:t>As análises inferenciais serão definidas de acordo com as hipóteses do estudo, o tipo de variável e o delineamento da pesquisa. Para comparação de variáveis quantitativas entre grupos independentes, serão utilizados [teste t de Student/ANOVA] ou seus equivalentes não paramétricos. Para dados pareados ou medidas repetidas, serão empregados [teste t pareado/ANOVA de medidas repetidas/modelos mistos] ou testes não paramétricos correspondentes. As associações entre variáveis qualitativas serão avaliadas pelo teste do qui-quadrado ou teste exato de Fisher. Quando aplicável, serão utilizados modelos de regressão para estimar associações ajustadas por potenciais fatores de confusão.</w:t>
      </w:r>
    </w:p>
    <w:p>
      <w:pPr>
        <w:pStyle w:val="Normal"/>
        <w:pBdr/>
        <w:ind w:firstLine="578"/>
        <w:rPr>
          <w:color w:val="000000"/>
        </w:rPr>
      </w:pPr>
      <w:r>
        <w:rPr>
          <w:i/>
          <w:iCs/>
          <w:color w:val="000000"/>
        </w:rPr>
        <w:t>Os pressupostos de cada análise serão verificados previamente. Serão apresentados os tamanhos de efeito, os intervalos de confiança de 95% e os valores de p. Será adotado nível de significância de 5%. As análises serão realizadas no programa [nome e versão].</w:t>
      </w:r>
      <w:r>
        <w:rPr>
          <w:color w:val="000000"/>
        </w:rPr>
        <w:t>”</w:t>
      </w:r>
    </w:p>
    <w:p>
      <w:pPr>
        <w:pStyle w:val="Normal"/>
        <w:pBdr/>
        <w:ind w:firstLine="578"/>
        <w:rPr>
          <w:color w:val="000000"/>
        </w:rPr>
      </w:pPr>
      <w:r>
        <w:rPr>
          <w:color w:val="000000"/>
        </w:rPr>
      </w:r>
    </w:p>
    <w:p>
      <w:pPr>
        <w:pStyle w:val="Normal"/>
        <w:pBdr/>
        <w:ind w:firstLine="578"/>
        <w:rPr>
          <w:color w:val="000000"/>
        </w:rPr>
      </w:pPr>
      <w:r>
        <w:rPr>
          <w:color w:val="000000"/>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Normal"/>
        <w:pBdr/>
        <w:ind w:firstLine="578"/>
        <w:rPr/>
      </w:pPr>
      <w:r>
        <w:rPr/>
      </w:r>
    </w:p>
    <w:p>
      <w:pPr>
        <w:pStyle w:val="Heading2"/>
        <w:numPr>
          <w:ilvl w:val="1"/>
          <w:numId w:val="2"/>
        </w:numPr>
        <w:rPr/>
      </w:pPr>
      <w:bookmarkStart w:id="25" w:name="_Toc239941401"/>
      <w:r>
        <w:rPr/>
        <w:t>Tamanho amostral</w:t>
      </w:r>
      <w:bookmarkEnd w:id="25"/>
    </w:p>
    <w:p>
      <w:pPr>
        <w:pStyle w:val="Normal"/>
        <w:ind w:firstLine="578"/>
        <w:rPr/>
      </w:pPr>
      <w:r>
        <w:rPr/>
        <w:t>Descrever como foi definido o número de participantes do estudo. Sempre que aplicável, apresentar o cálculo amostral realizado com base no desfecho primário, informando os principais parâmetros utilizados, como tamanho de efeito esperado, nível de significância (α), poder estatístico (1 − β), estimativa de perdas e número final de participantes. Essas estimativas devem ser fundamentadas em literatura anterior pertinente ao tema.</w:t>
      </w:r>
    </w:p>
    <w:p>
      <w:pPr>
        <w:pStyle w:val="Normal"/>
        <w:ind w:firstLine="578"/>
        <w:rPr/>
      </w:pPr>
      <w:r>
        <w:rPr/>
        <w:t>Quando o cálculo amostral não se aplicar, justificar a escolha. Isso pode ocorrer, por exemplo, em estudos com prontuários ou bancos de dados existentes, amostras censitárias, populações raras, estudos-piloto ou pesquisas que incluam todos os participantes elegíveis em determinado local e período. Nesses casos, informar o tipo de amostragem, o período de inclusão e o número estimado ou disponível de participantes.</w:t>
      </w:r>
    </w:p>
    <w:p>
      <w:pPr>
        <w:pStyle w:val="Normal"/>
        <w:ind w:firstLine="578"/>
        <w:rPr/>
      </w:pPr>
      <w:r>
        <w:rPr/>
        <w:t>Quando a amostra já estiver previamente definida, deverá ser apresentada, sempre que aplicável, uma análise de poder estatístico com tamanho amostral fixo, indicando o menor tamanho de efeito detectável, considerando o nível de significância, o poder estatístico pretendido e o método de análise previsto para o desfecho primário. Por exemplo:</w:t>
      </w:r>
    </w:p>
    <w:p>
      <w:pPr>
        <w:pStyle w:val="Normal"/>
        <w:ind w:firstLine="578"/>
        <w:rPr/>
      </w:pPr>
      <w:r>
        <w:rPr>
          <w:color w:val="000000"/>
        </w:rPr>
        <w:t xml:space="preserve">[1] </w:t>
      </w:r>
      <w:r>
        <w:rPr/>
        <w:t>“</w:t>
      </w:r>
      <w:r>
        <w:rPr>
          <w:i/>
          <w:iCs/>
        </w:rPr>
        <w:t>Não será realizado cálculo amostral, pois serão incluídos todos os pacientes elegíveis atendidos em [local], entre [data inicial] e [data final], de acordo com os critérios de inclusão e exclusão. Estima-se a inclusão de aproximadamente [número] participantes. Considerando essa amostra, será realizada uma análise de poder estatístico com tamanho amostral fixo para determinar o menor tamanho de efeito detectável. Adotando-se nível de significância de 5%, poder estatístico de 80% e o método de análise previsto para o desfecho primário, estima-se que a amostra será capaz de detectar um tamanho de efeito mínimo de [valor].</w:t>
      </w:r>
      <w:r>
        <w:rPr/>
        <w:t>”</w:t>
      </w:r>
    </w:p>
    <w:p>
      <w:pPr>
        <w:pStyle w:val="Normal"/>
        <w:ind w:firstLine="578"/>
        <w:rPr/>
      </w:pPr>
      <w:r>
        <w:rPr/>
        <w:t>Não se recomenda o cálculo de poder estatístico pós-hoc com base no tamanho de efeito observado após a análise dos dados.</w:t>
      </w:r>
    </w:p>
    <w:p>
      <w:pPr>
        <w:pStyle w:val="Normal"/>
        <w:ind w:firstLine="578"/>
        <w:rPr/>
      </w:pPr>
      <w:r>
        <w:rPr/>
      </w:r>
    </w:p>
    <w:p>
      <w:pPr>
        <w:pStyle w:val="Normal"/>
        <w:ind w:firstLine="578"/>
        <w:rPr/>
      </w:pPr>
      <w:r>
        <w:rPr/>
      </w:r>
    </w:p>
    <w:p>
      <w:pPr>
        <w:pStyle w:val="Normal"/>
        <w:ind w:firstLine="578"/>
        <w:rPr/>
      </w:pPr>
      <w:r>
        <w:rPr/>
      </w:r>
    </w:p>
    <w:p>
      <w:pPr>
        <w:pStyle w:val="Normal"/>
        <w:ind w:firstLine="578"/>
        <w:rPr/>
      </w:pPr>
      <w:r>
        <w:rPr/>
      </w:r>
    </w:p>
    <w:p>
      <w:pPr>
        <w:pStyle w:val="Heading1"/>
        <w:numPr>
          <w:ilvl w:val="0"/>
          <w:numId w:val="2"/>
        </w:numPr>
        <w:rPr/>
      </w:pPr>
      <w:bookmarkStart w:id="26" w:name="_Toc239941402"/>
      <w:r>
        <w:rPr/>
        <w:t>ORÇAMENTO</w:t>
      </w:r>
      <w:bookmarkEnd w:id="26"/>
    </w:p>
    <w:p>
      <w:pPr>
        <w:pStyle w:val="Normal"/>
        <w:pBdr/>
        <w:ind w:firstLine="709"/>
        <w:rPr>
          <w:color w:val="000000"/>
        </w:rPr>
      </w:pPr>
      <w:r>
        <w:rPr>
          <w:color w:val="000000"/>
        </w:rPr>
        <w:t xml:space="preserve">A Norma Operacional CNS N° 001/2013 (BRASIL, 2013), item 3.3.e, estabelece que todos os protocolos de pesquisa devem, </w:t>
      </w:r>
      <w:r>
        <w:rPr>
          <w:i/>
          <w:color w:val="000000"/>
        </w:rPr>
        <w:t>in verbis</w:t>
      </w:r>
      <w:r>
        <w:rPr>
          <w:color w:val="000000"/>
        </w:rPr>
        <w:t>,</w:t>
      </w:r>
    </w:p>
    <w:p>
      <w:pPr>
        <w:pStyle w:val="Normal"/>
        <w:pBdr/>
        <w:spacing w:lineRule="auto" w:line="240" w:before="120" w:after="120"/>
        <w:ind w:start="2268"/>
        <w:rPr>
          <w:color w:val="000000"/>
          <w:sz w:val="20"/>
          <w:szCs w:val="20"/>
        </w:rPr>
      </w:pPr>
      <w:r>
        <w:rPr>
          <w:color w:val="000000"/>
          <w:sz w:val="20"/>
          <w:szCs w:val="20"/>
        </w:rPr>
        <w:t>detalhar os recursos, fontes e destinação; forma e valor da remuneração do pesquisador; apresentar em moeda nacional ou, quando em moeda estrangeira, com o valor do câmbio oficial em Real, obtido no período da proposição da pesquisa; apresentar previsão de ressarcimento de despesas do participante e seus acompanhantes, quando necessário, tais como transporte e alimentação e compensação material nos casos ressalvados no item II.10 da Resolução do CNS 466 de 2012.</w:t>
      </w:r>
    </w:p>
    <w:p>
      <w:pPr>
        <w:pStyle w:val="Normal"/>
        <w:pBdr/>
        <w:ind w:firstLine="709"/>
        <w:rPr>
          <w:color w:val="000000"/>
        </w:rPr>
        <w:sectPr>
          <w:headerReference w:type="even" r:id="rId25"/>
          <w:headerReference w:type="default" r:id="rId26"/>
          <w:headerReference w:type="first" r:id="rId27"/>
          <w:footerReference w:type="default" r:id="rId28"/>
          <w:footerReference w:type="first" r:id="rId29"/>
          <w:footnotePr>
            <w:numFmt w:val="decimal"/>
          </w:footnotePr>
          <w:type w:val="nextPage"/>
          <w:pgSz w:w="11906" w:h="16838"/>
          <w:pgMar w:left="1701" w:right="1134" w:gutter="0" w:header="851" w:top="1701" w:footer="851" w:bottom="1134"/>
          <w:pgNumType w:fmt="decimal"/>
          <w:formProt w:val="false"/>
          <w:titlePg/>
          <w:textDirection w:val="lrTb"/>
          <w:docGrid w:type="default" w:linePitch="100" w:charSpace="0"/>
        </w:sectPr>
      </w:pPr>
      <w:r>
        <w:rPr>
          <w:color w:val="000000"/>
        </w:rPr>
        <w:t>O Sistema CEP/Conep entende que não há estudos sem custo nenhum. Sempre haverá necessidade de algum grau de investimento, ainda que mínimo. Ainda que não sejam necessários recursos para aquisição de materiais, compra de equipamentos e outros gastos, o pesquisador fará uso de horas do trabalho pagas pela instituição a qual é vinculado e fazer uso de computador, serviços de arquivologia, entre outros serviços rotineiros que geram gastos.</w:t>
      </w:r>
    </w:p>
    <w:p>
      <w:pPr>
        <w:pStyle w:val="Normal"/>
        <w:keepNext w:val="true"/>
        <w:pBdr/>
        <w:spacing w:lineRule="auto" w:line="240" w:before="0" w:after="120"/>
        <w:rPr>
          <w:b/>
          <w:color w:val="000000"/>
          <w:sz w:val="22"/>
          <w:szCs w:val="22"/>
        </w:rPr>
      </w:pPr>
      <w:r>
        <w:rPr>
          <w:b/>
          <w:color w:val="000000"/>
          <w:sz w:val="22"/>
          <w:szCs w:val="22"/>
        </w:rPr>
        <w:t>Tabela 1. Planilha de Orçamento</w:t>
      </w:r>
    </w:p>
    <w:tbl>
      <w:tblPr>
        <w:tblStyle w:val="a5"/>
        <w:tblW w:w="14823" w:type="dxa"/>
        <w:jc w:val="start"/>
        <w:tblInd w:w="-115" w:type="dxa"/>
        <w:tblLayout w:type="fixed"/>
        <w:tblCellMar>
          <w:top w:w="0" w:type="dxa"/>
          <w:start w:w="108" w:type="dxa"/>
          <w:bottom w:w="0" w:type="dxa"/>
          <w:end w:w="108" w:type="dxa"/>
        </w:tblCellMar>
        <w:tblLook w:val="0000" w:firstRow="0" w:noVBand="0" w:lastRow="0" w:firstColumn="0" w:lastColumn="0" w:noHBand="0"/>
      </w:tblPr>
      <w:tblGrid>
        <w:gridCol w:w="3839"/>
        <w:gridCol w:w="2210"/>
        <w:gridCol w:w="1246"/>
        <w:gridCol w:w="1345"/>
        <w:gridCol w:w="1286"/>
        <w:gridCol w:w="1865"/>
        <w:gridCol w:w="3032"/>
      </w:tblGrid>
      <w:tr>
        <w:trPr>
          <w:tblHeader w:val="true"/>
          <w:trHeight w:val="284" w:hRule="atLeast"/>
          <w:cantSplit/>
        </w:trPr>
        <w:tc>
          <w:tcPr>
            <w:tcW w:w="3839" w:type="dxa"/>
            <w:vMerge w:val="restart"/>
            <w:tcBorders>
              <w:top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Item</w:t>
            </w:r>
          </w:p>
        </w:tc>
        <w:tc>
          <w:tcPr>
            <w:tcW w:w="22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Descrição</w:t>
            </w:r>
          </w:p>
        </w:tc>
        <w:tc>
          <w:tcPr>
            <w:tcW w:w="1246" w:type="dxa"/>
            <w:vMerge w:val="restart"/>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Quantidade</w:t>
            </w:r>
          </w:p>
        </w:tc>
        <w:tc>
          <w:tcPr>
            <w:tcW w:w="2631" w:type="dxa"/>
            <w:gridSpan w:val="2"/>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Custos (R$)</w:t>
            </w:r>
          </w:p>
        </w:tc>
        <w:tc>
          <w:tcPr>
            <w:tcW w:w="1865" w:type="dxa"/>
            <w:vMerge w:val="restart"/>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Fonte de Recursos</w:t>
            </w:r>
          </w:p>
        </w:tc>
        <w:tc>
          <w:tcPr>
            <w:tcW w:w="3032" w:type="dxa"/>
            <w:vMerge w:val="restart"/>
            <w:tcBorders>
              <w:top w:val="single"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Observações</w:t>
            </w:r>
          </w:p>
        </w:tc>
      </w:tr>
      <w:tr>
        <w:trPr>
          <w:tblHeader w:val="true"/>
          <w:trHeight w:val="284" w:hRule="atLeast"/>
          <w:cantSplit/>
        </w:trPr>
        <w:tc>
          <w:tcPr>
            <w:tcW w:w="3839" w:type="dxa"/>
            <w:vMerge w:val="continue"/>
            <w:tcBorders>
              <w:top w:val="single" w:sz="4" w:space="0" w:color="000000"/>
              <w:bottom w:val="single" w:sz="4" w:space="0" w:color="000000"/>
              <w:end w:val="single" w:sz="4" w:space="0" w:color="000000"/>
            </w:tcBorders>
            <w:vAlign w:val="center"/>
          </w:tcPr>
          <w:p>
            <w:pPr>
              <w:pStyle w:val="Normal"/>
              <w:widowControl w:val="false"/>
              <w:pBdr/>
              <w:spacing w:lineRule="auto" w:line="276"/>
              <w:jc w:val="start"/>
              <w:rPr>
                <w:color w:val="000000"/>
                <w:sz w:val="20"/>
                <w:szCs w:val="20"/>
              </w:rPr>
            </w:pPr>
            <w:r>
              <w:rPr>
                <w:color w:val="000000"/>
                <w:sz w:val="20"/>
                <w:szCs w:val="20"/>
              </w:rPr>
            </w:r>
          </w:p>
        </w:tc>
        <w:tc>
          <w:tcPr>
            <w:tcW w:w="221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jc w:val="start"/>
              <w:rPr>
                <w:color w:val="000000"/>
                <w:sz w:val="20"/>
                <w:szCs w:val="20"/>
              </w:rPr>
            </w:pPr>
            <w:r>
              <w:rPr>
                <w:color w:val="000000"/>
                <w:sz w:val="20"/>
                <w:szCs w:val="20"/>
              </w:rPr>
            </w:r>
          </w:p>
        </w:tc>
        <w:tc>
          <w:tcPr>
            <w:tcW w:w="124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jc w:val="start"/>
              <w:rPr>
                <w:color w:val="000000"/>
                <w:sz w:val="20"/>
                <w:szCs w:val="20"/>
              </w:rPr>
            </w:pPr>
            <w:r>
              <w:rPr>
                <w:color w:val="000000"/>
                <w:sz w:val="20"/>
                <w:szCs w:val="20"/>
              </w:rPr>
            </w:r>
          </w:p>
        </w:tc>
        <w:tc>
          <w:tcPr>
            <w:tcW w:w="13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Unitário</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Total</w:t>
            </w:r>
          </w:p>
        </w:tc>
        <w:tc>
          <w:tcPr>
            <w:tcW w:w="186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pacing w:lineRule="auto" w:line="276"/>
              <w:jc w:val="start"/>
              <w:rPr>
                <w:color w:val="000000"/>
                <w:sz w:val="20"/>
                <w:szCs w:val="20"/>
              </w:rPr>
            </w:pPr>
            <w:r>
              <w:rPr>
                <w:color w:val="000000"/>
                <w:sz w:val="20"/>
                <w:szCs w:val="20"/>
              </w:rPr>
            </w:r>
          </w:p>
        </w:tc>
        <w:tc>
          <w:tcPr>
            <w:tcW w:w="3032" w:type="dxa"/>
            <w:vMerge w:val="continue"/>
            <w:tcBorders>
              <w:top w:val="single" w:sz="4" w:space="0" w:color="000000"/>
              <w:start w:val="single" w:sz="4" w:space="0" w:color="000000"/>
              <w:bottom w:val="single" w:sz="4" w:space="0" w:color="000000"/>
            </w:tcBorders>
            <w:vAlign w:val="center"/>
          </w:tcPr>
          <w:p>
            <w:pPr>
              <w:pStyle w:val="Normal"/>
              <w:widowControl w:val="false"/>
              <w:pBdr/>
              <w:spacing w:lineRule="auto" w:line="276"/>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Pessoal da Pesquisa</w:t>
            </w:r>
          </w:p>
        </w:tc>
        <w:tc>
          <w:tcPr>
            <w:tcW w:w="2210"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Pesquisador Principal</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Assistente</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Secretária</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Entrevistador(es)</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single"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Outros (especificar)</w:t>
            </w:r>
          </w:p>
        </w:tc>
        <w:tc>
          <w:tcPr>
            <w:tcW w:w="2210"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Participantes da pesquisa</w:t>
            </w:r>
          </w:p>
        </w:tc>
        <w:tc>
          <w:tcPr>
            <w:tcW w:w="2210"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Dispensação de drogas</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Visitas Clínicas</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Exames Laboratoriais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Exames Radiológicos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single"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Outros (especificar)</w:t>
            </w:r>
          </w:p>
        </w:tc>
        <w:tc>
          <w:tcPr>
            <w:tcW w:w="2210"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Material Permanente</w:t>
            </w:r>
          </w:p>
        </w:tc>
        <w:tc>
          <w:tcPr>
            <w:tcW w:w="2210"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Informática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single"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Laboratórios (especificar)</w:t>
            </w:r>
          </w:p>
        </w:tc>
        <w:tc>
          <w:tcPr>
            <w:tcW w:w="2210"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Material de Consumo</w:t>
            </w:r>
          </w:p>
        </w:tc>
        <w:tc>
          <w:tcPr>
            <w:tcW w:w="2210"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Escritório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Papelaria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Laboratórios (especificar)</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single"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Outros (especificar)</w:t>
            </w:r>
          </w:p>
        </w:tc>
        <w:tc>
          <w:tcPr>
            <w:tcW w:w="2210"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Serviços de Terceiros (especificar)</w:t>
            </w:r>
          </w:p>
        </w:tc>
        <w:tc>
          <w:tcPr>
            <w:tcW w:w="2210"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Consultoria</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dotted"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Confecção de Material</w:t>
            </w:r>
          </w:p>
        </w:tc>
        <w:tc>
          <w:tcPr>
            <w:tcW w:w="2210"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dotted"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dotted"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dotted" w:sz="4" w:space="0" w:color="000000"/>
              <w:bottom w:val="single" w:sz="4" w:space="0" w:color="000000"/>
              <w:end w:val="single" w:sz="4" w:space="0" w:color="000000"/>
            </w:tcBorders>
            <w:vAlign w:val="center"/>
          </w:tcPr>
          <w:p>
            <w:pPr>
              <w:pStyle w:val="Normal"/>
              <w:pBdr/>
              <w:spacing w:lineRule="auto" w:line="240" w:before="120" w:after="120"/>
              <w:ind w:start="708"/>
              <w:jc w:val="start"/>
              <w:rPr>
                <w:color w:val="000000"/>
                <w:sz w:val="20"/>
                <w:szCs w:val="20"/>
              </w:rPr>
            </w:pPr>
            <w:r>
              <w:rPr>
                <w:color w:val="000000"/>
                <w:sz w:val="20"/>
                <w:szCs w:val="20"/>
              </w:rPr>
              <w:t>Outros</w:t>
            </w:r>
          </w:p>
        </w:tc>
        <w:tc>
          <w:tcPr>
            <w:tcW w:w="2210"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dotted"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dotted"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623" w:hRule="atLeast"/>
          <w:cantSplit/>
        </w:trPr>
        <w:tc>
          <w:tcPr>
            <w:tcW w:w="3839" w:type="dxa"/>
            <w:tcBorders>
              <w:top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4"/>
                <w:szCs w:val="4"/>
              </w:rPr>
            </w:pPr>
            <w:r>
              <w:rPr>
                <w:color w:val="000000"/>
                <w:sz w:val="20"/>
                <w:szCs w:val="20"/>
              </w:rPr>
              <w:t>Outras Despesas (viagem, eventos científicos, correios, fone/fax, etc</w:t>
            </w:r>
          </w:p>
        </w:tc>
        <w:tc>
          <w:tcPr>
            <w:tcW w:w="2210"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r>
        <w:trPr>
          <w:trHeight w:val="301" w:hRule="atLeast"/>
          <w:cantSplit/>
        </w:trPr>
        <w:tc>
          <w:tcPr>
            <w:tcW w:w="3839" w:type="dxa"/>
            <w:tcBorders>
              <w:top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t>TOTAL</w:t>
            </w:r>
          </w:p>
        </w:tc>
        <w:tc>
          <w:tcPr>
            <w:tcW w:w="2210"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46"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34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c>
          <w:tcPr>
            <w:tcW w:w="3032" w:type="dxa"/>
            <w:tcBorders>
              <w:top w:val="single" w:sz="4" w:space="0" w:color="000000"/>
              <w:start w:val="single" w:sz="4" w:space="0" w:color="000000"/>
              <w:bottom w:val="single" w:sz="4" w:space="0" w:color="000000"/>
            </w:tcBorders>
            <w:vAlign w:val="center"/>
          </w:tcPr>
          <w:p>
            <w:pPr>
              <w:pStyle w:val="Normal"/>
              <w:pBdr/>
              <w:spacing w:lineRule="auto" w:line="240" w:before="120" w:after="120"/>
              <w:jc w:val="start"/>
              <w:rPr>
                <w:color w:val="000000"/>
                <w:sz w:val="20"/>
                <w:szCs w:val="20"/>
              </w:rPr>
            </w:pPr>
            <w:r>
              <w:rPr>
                <w:color w:val="000000"/>
                <w:sz w:val="20"/>
                <w:szCs w:val="20"/>
              </w:rPr>
            </w:r>
          </w:p>
        </w:tc>
      </w:tr>
    </w:tbl>
    <w:p>
      <w:pPr>
        <w:sectPr>
          <w:headerReference w:type="default" r:id="rId30"/>
          <w:headerReference w:type="first" r:id="rId31"/>
          <w:footerReference w:type="default" r:id="rId32"/>
          <w:footerReference w:type="first" r:id="rId33"/>
          <w:footnotePr>
            <w:numFmt w:val="decimal"/>
          </w:footnotePr>
          <w:type w:val="nextPage"/>
          <w:pgSz w:orient="landscape" w:w="16838" w:h="11906"/>
          <w:pgMar w:left="1134" w:right="1701" w:gutter="0" w:header="851" w:top="1701" w:footer="851" w:bottom="1134"/>
          <w:pgNumType w:fmt="decimal"/>
          <w:formProt w:val="false"/>
          <w:titlePg/>
          <w:textDirection w:val="lrTb"/>
          <w:docGrid w:type="default" w:linePitch="100" w:charSpace="0"/>
        </w:sectPr>
      </w:pPr>
    </w:p>
    <w:p>
      <w:pPr>
        <w:pStyle w:val="Heading1"/>
        <w:numPr>
          <w:ilvl w:val="0"/>
          <w:numId w:val="2"/>
        </w:numPr>
        <w:rPr/>
      </w:pPr>
      <w:bookmarkStart w:id="27" w:name="_Toc239941403"/>
      <w:r>
        <w:rPr/>
        <w:t>CRONOGRAMA</w:t>
      </w:r>
      <w:bookmarkEnd w:id="27"/>
    </w:p>
    <w:p>
      <w:pPr>
        <w:pStyle w:val="Normal"/>
        <w:pBdr/>
        <w:ind w:firstLine="709"/>
        <w:rPr>
          <w:color w:val="000000"/>
        </w:rPr>
      </w:pPr>
      <w:r>
        <w:rPr>
          <w:color w:val="000000"/>
        </w:rPr>
        <w:t xml:space="preserve">De acordo com a Norma Operacional CNS Nº 001/2013 (BRASIL, 2013), item 3.4.1.9., Todos os protocolos de pesquisa devem conter, obrigatoriamente, </w:t>
      </w:r>
      <w:r>
        <w:rPr>
          <w:i/>
          <w:color w:val="000000"/>
        </w:rPr>
        <w:t>in verbis</w:t>
      </w:r>
      <w:r>
        <w:rPr>
          <w:color w:val="000000"/>
        </w:rPr>
        <w:t>:</w:t>
      </w:r>
    </w:p>
    <w:p>
      <w:pPr>
        <w:pStyle w:val="Normal"/>
        <w:pBdr/>
        <w:spacing w:lineRule="auto" w:line="240" w:before="120" w:after="120"/>
        <w:ind w:start="2268"/>
        <w:rPr>
          <w:color w:val="000000"/>
          <w:sz w:val="20"/>
          <w:szCs w:val="20"/>
        </w:rPr>
      </w:pPr>
      <w:r>
        <w:rPr>
          <w:color w:val="000000"/>
          <w:sz w:val="20"/>
          <w:szCs w:val="20"/>
        </w:rPr>
        <w:t>Cronograma: informando a duração total e as diferentes etapas da pesquisa, em número de meses, com compromisso explícito do pesquisador de que a pesquisa somente será iniciada a partir da aprovação pelo Sistema CEP-Conep”.</w:t>
      </w:r>
    </w:p>
    <w:p>
      <w:pPr>
        <w:pStyle w:val="Normal"/>
        <w:pBdr/>
        <w:spacing w:before="0" w:after="0"/>
        <w:ind w:firstLine="709"/>
        <w:rPr>
          <w:color w:val="000000"/>
        </w:rPr>
        <w:sectPr>
          <w:headerReference w:type="even" r:id="rId34"/>
          <w:headerReference w:type="default" r:id="rId35"/>
          <w:headerReference w:type="first" r:id="rId36"/>
          <w:footerReference w:type="default" r:id="rId37"/>
          <w:footerReference w:type="first" r:id="rId38"/>
          <w:footnotePr>
            <w:numFmt w:val="decimal"/>
          </w:footnotePr>
          <w:type w:val="nextPage"/>
          <w:pgSz w:w="11906" w:h="16838"/>
          <w:pgMar w:left="1701" w:right="1134" w:gutter="0" w:header="851" w:top="1701" w:footer="851" w:bottom="1134"/>
          <w:pgNumType w:fmt="decimal"/>
          <w:formProt w:val="false"/>
          <w:titlePg/>
          <w:textDirection w:val="lrTb"/>
          <w:docGrid w:type="default" w:linePitch="100" w:charSpace="0"/>
        </w:sectPr>
      </w:pPr>
      <w:r>
        <w:rPr>
          <w:color w:val="000000"/>
        </w:rPr>
        <w:t>Deve-se ter atenção a data de início do estudo, que não pode ser anterior à tramitação COEDI e no Sistema CEP/Conep. Adicionalmente, as etapas devem ser claramente descritas e serem compatíveis com o projeto de pesquisa, considerando aspectos metodológicos e de tempo de execução.</w:t>
      </w:r>
    </w:p>
    <w:p>
      <w:pPr>
        <w:pStyle w:val="Normal"/>
        <w:keepNext w:val="true"/>
        <w:pBdr/>
        <w:spacing w:lineRule="auto" w:line="240" w:before="0" w:after="120"/>
        <w:rPr>
          <w:b/>
          <w:color w:val="000000"/>
          <w:sz w:val="22"/>
          <w:szCs w:val="22"/>
        </w:rPr>
      </w:pPr>
      <w:r>
        <w:rPr>
          <w:b/>
          <w:color w:val="000000"/>
          <w:sz w:val="22"/>
          <w:szCs w:val="22"/>
        </w:rPr>
        <w:t>Quadro 6. Cronograma de execução do projeto</w:t>
      </w:r>
    </w:p>
    <w:tbl>
      <w:tblPr>
        <w:tblStyle w:val="TableGrid"/>
        <w:tblW w:w="784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453"/>
        <w:gridCol w:w="2557"/>
        <w:gridCol w:w="2838"/>
      </w:tblGrid>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t>Identificação da Etapa</w:t>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t>Início (DD/MM/AAAA)</w:t>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t>Término (DD/MM/AAAA)</w:t>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r>
        <w:trPr/>
        <w:tc>
          <w:tcPr>
            <w:tcW w:w="2453"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557"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c>
          <w:tcPr>
            <w:tcW w:w="2838" w:type="dxa"/>
            <w:tcBorders/>
            <w:vAlign w:val="center"/>
          </w:tcPr>
          <w:p>
            <w:pPr>
              <w:pStyle w:val="Normal"/>
              <w:keepNext w:val="true"/>
              <w:widowControl/>
              <w:spacing w:lineRule="auto" w:line="240" w:before="0" w:after="120"/>
              <w:jc w:val="center"/>
              <w:rPr>
                <w:b/>
                <w:color w:val="000000"/>
                <w:sz w:val="22"/>
                <w:szCs w:val="22"/>
              </w:rPr>
            </w:pPr>
            <w:r>
              <w:rPr>
                <w:rFonts w:eastAsia="Times New Roman" w:cs="Times New Roman"/>
                <w:b/>
                <w:color w:val="000000"/>
                <w:kern w:val="0"/>
                <w:sz w:val="22"/>
                <w:szCs w:val="22"/>
                <w:lang w:val="pt-BR" w:bidi="ar-SA"/>
              </w:rPr>
            </w:r>
          </w:p>
        </w:tc>
      </w:tr>
    </w:tbl>
    <w:p>
      <w:pPr>
        <w:pStyle w:val="Normal"/>
        <w:pBdr/>
        <w:ind w:firstLine="709"/>
        <w:rPr>
          <w:color w:val="000000"/>
        </w:rPr>
        <w:sectPr>
          <w:headerReference w:type="default" r:id="rId39"/>
          <w:headerReference w:type="first" r:id="rId40"/>
          <w:footerReference w:type="default" r:id="rId41"/>
          <w:footerReference w:type="first" r:id="rId42"/>
          <w:footnotePr>
            <w:numFmt w:val="decimal"/>
          </w:footnotePr>
          <w:type w:val="nextPage"/>
          <w:pgSz w:orient="landscape" w:w="16838" w:h="11906"/>
          <w:pgMar w:left="1134" w:right="1701" w:gutter="0" w:header="851" w:top="1701" w:footer="851" w:bottom="1134"/>
          <w:pgNumType w:fmt="decimal"/>
          <w:formProt w:val="false"/>
          <w:titlePg/>
          <w:textDirection w:val="lrTb"/>
          <w:docGrid w:type="default" w:linePitch="100" w:charSpace="0"/>
        </w:sectPr>
      </w:pPr>
      <w:r>
        <w:rPr>
          <w:color w:val="000000"/>
        </w:rPr>
        <w:t>Declaro que a coleta de dados da pesquisa, só terá início após a aprovação do COEDI e CEP/CONEP.</w:t>
      </w:r>
    </w:p>
    <w:p>
      <w:pPr>
        <w:pStyle w:val="Heading1"/>
        <w:numPr>
          <w:ilvl w:val="0"/>
          <w:numId w:val="2"/>
        </w:numPr>
        <w:rPr/>
      </w:pPr>
      <w:bookmarkStart w:id="28" w:name="_Toc239941404"/>
      <w:r>
        <w:rPr/>
        <w:t>REFERÊNCIAS</w:t>
      </w:r>
      <w:bookmarkEnd w:id="28"/>
    </w:p>
    <w:p>
      <w:pPr>
        <w:pStyle w:val="Normal"/>
        <w:pBdr/>
        <w:ind w:firstLine="709"/>
        <w:rPr>
          <w:color w:val="000000"/>
        </w:rPr>
      </w:pPr>
      <w:r>
        <w:rPr>
          <w:color w:val="000000"/>
        </w:rPr>
        <w:t>As referências devem estar no formato ABNT. As orientações podem ser encontradas no Guia para elaboração de trabalhos acadêmicos, disponibilizado pelo Biblioteca da Universidade de Caxias do Sul.</w:t>
      </w:r>
      <w:r>
        <w:rPr>
          <w:rStyle w:val="FootnoteReference"/>
          <w:color w:val="000000"/>
          <w:vertAlign w:val="superscript"/>
        </w:rPr>
        <w:footnoteReference w:id="3"/>
      </w:r>
    </w:p>
    <w:p>
      <w:pPr>
        <w:pStyle w:val="Normal"/>
        <w:pBdr/>
        <w:ind w:firstLine="709"/>
        <w:rPr>
          <w:color w:val="000000"/>
        </w:rPr>
      </w:pPr>
      <w:r>
        <w:rPr>
          <w:color w:val="000000"/>
        </w:rPr>
        <w:t>A ferramenta Zotero pode ser auxiliar na formatação das referências.</w:t>
      </w:r>
      <w:r>
        <w:rPr>
          <w:rStyle w:val="FootnoteReference"/>
          <w:color w:val="000000"/>
          <w:vertAlign w:val="superscript"/>
        </w:rPr>
        <w:footnoteReference w:id="4"/>
      </w:r>
    </w:p>
    <w:p>
      <w:pPr>
        <w:pStyle w:val="Normal"/>
        <w:pBdr/>
        <w:spacing w:lineRule="auto" w:line="240" w:before="0" w:after="120"/>
        <w:ind w:hanging="284" w:start="284"/>
        <w:jc w:val="start"/>
        <w:rPr>
          <w:color w:val="000000"/>
        </w:rPr>
      </w:pPr>
      <w:r>
        <w:rPr>
          <w:color w:val="000000"/>
        </w:rPr>
        <w:t>BRASIL. MINISTÉRIO DA SAÚDE. CONSELHO NACIONAL DE SAÚDE. RESOLUÇÃO N</w:t>
      </w:r>
      <w:r>
        <w:rPr>
          <w:color w:val="000000"/>
          <w:vertAlign w:val="superscript"/>
        </w:rPr>
        <w:t>o</w:t>
      </w:r>
      <w:r>
        <w:rPr>
          <w:color w:val="000000"/>
        </w:rPr>
        <w:t xml:space="preserve"> 196, DE 10 DE OUTUBRO DE 1996. RESOLUÇÃO N</w:t>
      </w:r>
      <w:r>
        <w:rPr>
          <w:color w:val="000000"/>
          <w:vertAlign w:val="superscript"/>
        </w:rPr>
        <w:t>o</w:t>
      </w:r>
      <w:r>
        <w:rPr>
          <w:color w:val="000000"/>
        </w:rPr>
        <w:t xml:space="preserve"> 196, DE 10 DE OUTUBRO DE 1996. 1996. </w:t>
      </w:r>
    </w:p>
    <w:p>
      <w:pPr>
        <w:pStyle w:val="Normal"/>
        <w:pBdr/>
        <w:spacing w:lineRule="auto" w:line="240" w:before="0" w:after="120"/>
        <w:ind w:hanging="284" w:start="284"/>
        <w:jc w:val="start"/>
        <w:rPr>
          <w:color w:val="000000"/>
        </w:rPr>
      </w:pPr>
      <w:r>
        <w:rPr>
          <w:color w:val="000000"/>
        </w:rPr>
        <w:t>BRASIL. MINISTÉRIO DA SAÚDE. CONSELHO NACIONAL DE SAÚDE. RESOLUÇÃO N</w:t>
      </w:r>
      <w:r>
        <w:rPr>
          <w:color w:val="000000"/>
          <w:vertAlign w:val="superscript"/>
        </w:rPr>
        <w:t>o</w:t>
      </w:r>
      <w:r>
        <w:rPr>
          <w:color w:val="000000"/>
        </w:rPr>
        <w:t xml:space="preserve"> 466, DE 12 DE DEZEMBRO DE 2012. RESOLUÇÃO N</w:t>
      </w:r>
      <w:r>
        <w:rPr>
          <w:color w:val="000000"/>
          <w:vertAlign w:val="superscript"/>
        </w:rPr>
        <w:t>o</w:t>
      </w:r>
      <w:r>
        <w:rPr>
          <w:color w:val="000000"/>
        </w:rPr>
        <w:t xml:space="preserve"> 466, DE 12 DE DEZEMBRO DE 2012. 2012, p. 59. </w:t>
      </w:r>
    </w:p>
    <w:p>
      <w:pPr>
        <w:pStyle w:val="Normal"/>
        <w:pBdr/>
        <w:spacing w:lineRule="auto" w:line="240" w:before="0" w:after="120"/>
        <w:ind w:hanging="284" w:start="284"/>
        <w:jc w:val="start"/>
        <w:rPr>
          <w:color w:val="000000"/>
        </w:rPr>
      </w:pPr>
      <w:r>
        <w:rPr>
          <w:color w:val="000000"/>
        </w:rPr>
        <w:t>BRASIL. MINISTÉRIO DA SAÚDE. CONSELHO NACIONAL DE SAÚDE. NORMA OPERACIONAL N</w:t>
      </w:r>
      <w:r>
        <w:rPr>
          <w:color w:val="000000"/>
          <w:vertAlign w:val="superscript"/>
        </w:rPr>
        <w:t>o</w:t>
      </w:r>
      <w:r>
        <w:rPr>
          <w:color w:val="000000"/>
        </w:rPr>
        <w:t xml:space="preserve"> 001/2013. NORMA OPERACIONAL N</w:t>
      </w:r>
      <w:r>
        <w:rPr>
          <w:color w:val="000000"/>
          <w:vertAlign w:val="superscript"/>
        </w:rPr>
        <w:t>o</w:t>
      </w:r>
      <w:r>
        <w:rPr>
          <w:color w:val="000000"/>
        </w:rPr>
        <w:t xml:space="preserve"> 001/2013. 2013. </w:t>
      </w:r>
    </w:p>
    <w:p>
      <w:pPr>
        <w:pStyle w:val="Normal"/>
        <w:pBdr/>
        <w:spacing w:lineRule="auto" w:line="240" w:before="0" w:after="120"/>
        <w:ind w:hanging="284" w:start="284"/>
        <w:jc w:val="start"/>
        <w:rPr>
          <w:color w:val="000000"/>
        </w:rPr>
      </w:pPr>
      <w:r>
        <w:rPr>
          <w:color w:val="000000"/>
        </w:rPr>
        <w:t>BRASIL. MINISTÉRIO DA SAÚDE. CONSELHO NACIONAL DE SAÚDE. Resolução CNS n</w:t>
      </w:r>
      <w:r>
        <w:rPr>
          <w:color w:val="000000"/>
          <w:vertAlign w:val="superscript"/>
        </w:rPr>
        <w:t>o</w:t>
      </w:r>
      <w:r>
        <w:rPr>
          <w:color w:val="000000"/>
        </w:rPr>
        <w:t xml:space="preserve"> 510, de 7 de abril de 2016. Resolução CNS n</w:t>
      </w:r>
      <w:r>
        <w:rPr>
          <w:color w:val="000000"/>
          <w:vertAlign w:val="superscript"/>
        </w:rPr>
        <w:t>o</w:t>
      </w:r>
      <w:r>
        <w:rPr>
          <w:color w:val="000000"/>
        </w:rPr>
        <w:t xml:space="preserve"> 510, de 7 de abril de 2016. 2016. </w:t>
      </w:r>
    </w:p>
    <w:p>
      <w:pPr>
        <w:pStyle w:val="Normal"/>
        <w:pBdr/>
        <w:spacing w:lineRule="auto" w:line="240" w:before="0" w:after="120"/>
        <w:ind w:hanging="284" w:start="284"/>
        <w:jc w:val="start"/>
        <w:rPr>
          <w:color w:val="000000"/>
        </w:rPr>
      </w:pPr>
      <w:r>
        <w:rPr>
          <w:color w:val="000000"/>
        </w:rPr>
        <w:t xml:space="preserve">BRASIL. MINISTÉRIO DA SAÚDE. CONSELHO NACIONAL DE SAÚDE. Resolução n. 674, de 6 de maio de 2022. Resolução n. 674, de 6 de maio de 2022. 2022. </w:t>
      </w:r>
    </w:p>
    <w:p>
      <w:pPr>
        <w:pStyle w:val="Normal"/>
        <w:pBdr/>
        <w:spacing w:lineRule="auto" w:line="240" w:before="0" w:after="120"/>
        <w:ind w:hanging="284" w:start="284"/>
        <w:jc w:val="start"/>
        <w:rPr>
          <w:color w:val="000000"/>
        </w:rPr>
      </w:pPr>
      <w:r>
        <w:rPr>
          <w:color w:val="000000"/>
        </w:rPr>
        <w:t xml:space="preserve">CARVALHO FERREIRA, J.; M PATINO, C. Reporting guidelines: essential tools for manuscript writing in medical research. </w:t>
      </w:r>
      <w:r>
        <w:rPr>
          <w:b/>
          <w:color w:val="000000"/>
        </w:rPr>
        <w:t>Jornal Brasileiro de Pneumologia</w:t>
      </w:r>
      <w:r>
        <w:rPr>
          <w:color w:val="000000"/>
        </w:rPr>
        <w:t xml:space="preserve">, v. 47, n. 1, p. e20210057–e20210057, 2021. </w:t>
      </w:r>
    </w:p>
    <w:p>
      <w:pPr>
        <w:pStyle w:val="Normal"/>
        <w:pBdr/>
        <w:spacing w:lineRule="auto" w:line="240" w:before="0" w:after="120"/>
        <w:ind w:hanging="284" w:start="284"/>
        <w:jc w:val="start"/>
        <w:rPr>
          <w:color w:val="000000"/>
        </w:rPr>
      </w:pPr>
      <w:r>
        <w:rPr>
          <w:color w:val="000000"/>
        </w:rPr>
        <w:t xml:space="preserve">CAVALCANTE, F. P. et al. </w:t>
      </w:r>
      <w:r>
        <w:rPr>
          <w:color w:val="000000"/>
          <w:lang w:val="en-AU"/>
        </w:rPr>
        <w:t xml:space="preserve">Oncological Outcomes of Nipple-Sparing Mastectomy in an Unselected Population Evaluated in a Single Center. </w:t>
      </w:r>
      <w:r>
        <w:rPr>
          <w:b/>
          <w:color w:val="000000"/>
        </w:rPr>
        <w:t>Revista Brasileira De Ginecologia E Obstetricia: Revista Da Federacao Brasileira Das Sociedades De Ginecologia E Obstetricia</w:t>
      </w:r>
      <w:r>
        <w:rPr>
          <w:color w:val="000000"/>
        </w:rPr>
        <w:t xml:space="preserve">, v. 44, n. 11, p. 1052–1058, nov. 2022. </w:t>
      </w:r>
    </w:p>
    <w:p>
      <w:pPr>
        <w:pStyle w:val="Normal"/>
        <w:pBdr/>
        <w:spacing w:lineRule="auto" w:line="240" w:before="0" w:after="120"/>
        <w:ind w:hanging="284" w:start="284"/>
        <w:jc w:val="start"/>
        <w:rPr>
          <w:color w:val="000000"/>
          <w:lang w:val="en-AU"/>
        </w:rPr>
      </w:pPr>
      <w:r>
        <w:rPr>
          <w:color w:val="000000"/>
          <w:lang w:val="en-AU"/>
        </w:rPr>
        <w:t xml:space="preserve">CUSCHIERI, S. The CONSORT Statement. </w:t>
      </w:r>
      <w:r>
        <w:rPr>
          <w:b/>
          <w:color w:val="000000"/>
          <w:lang w:val="en-AU"/>
        </w:rPr>
        <w:t>Saudi Journal of Anaesthesia</w:t>
      </w:r>
      <w:r>
        <w:rPr>
          <w:color w:val="000000"/>
          <w:lang w:val="en-AU"/>
        </w:rPr>
        <w:t xml:space="preserve">, v. 13, n. 5, p. 27, 2019. </w:t>
      </w:r>
    </w:p>
    <w:p>
      <w:pPr>
        <w:pStyle w:val="Normal"/>
        <w:pBdr/>
        <w:spacing w:lineRule="auto" w:line="240" w:before="0" w:after="120"/>
        <w:ind w:hanging="284" w:start="284"/>
        <w:jc w:val="start"/>
        <w:rPr>
          <w:color w:val="000000"/>
        </w:rPr>
      </w:pPr>
      <w:r>
        <w:rPr>
          <w:color w:val="000000"/>
        </w:rPr>
        <w:t xml:space="preserve">FREIRE GALVÃO, T.; TOLENTINO SILVA, M.; POSENATO GARCIA, L. Ferramentas para melhorar a qualidade e a transparência dos relatos de pesquisa em saúde: guias de redação científica. </w:t>
      </w:r>
      <w:r>
        <w:rPr>
          <w:b/>
          <w:color w:val="000000"/>
        </w:rPr>
        <w:t>Epidemiologia e Serviços de Saúde</w:t>
      </w:r>
      <w:r>
        <w:rPr>
          <w:color w:val="000000"/>
        </w:rPr>
        <w:t xml:space="preserve">, v. 25, n. 2, p. 1–2, jun. 2016. </w:t>
      </w:r>
    </w:p>
    <w:p>
      <w:pPr>
        <w:pStyle w:val="Normal"/>
        <w:pBdr/>
        <w:spacing w:lineRule="auto" w:line="240" w:before="0" w:after="120"/>
        <w:ind w:hanging="284" w:start="284"/>
        <w:jc w:val="start"/>
        <w:rPr>
          <w:color w:val="000000"/>
        </w:rPr>
      </w:pPr>
      <w:r>
        <w:rPr>
          <w:color w:val="000000"/>
        </w:rPr>
        <w:t xml:space="preserve">GHAFERI, A. A.; SCHWARTZ, T. A.; PAWLIK, T. M. STROBE Reporting Guidelines for Observational Studies. </w:t>
      </w:r>
      <w:r>
        <w:rPr>
          <w:b/>
          <w:color w:val="000000"/>
        </w:rPr>
        <w:t>JAMA Surgery</w:t>
      </w:r>
      <w:r>
        <w:rPr>
          <w:color w:val="000000"/>
        </w:rPr>
        <w:t xml:space="preserve">, v. 156, n. 6, p. 577, 1 jun. 2021. </w:t>
      </w:r>
    </w:p>
    <w:p>
      <w:pPr>
        <w:pStyle w:val="Normal"/>
        <w:pBdr/>
        <w:spacing w:lineRule="auto" w:line="240" w:before="0" w:after="120"/>
        <w:ind w:hanging="284" w:start="284"/>
        <w:jc w:val="start"/>
        <w:rPr>
          <w:color w:val="000000"/>
        </w:rPr>
      </w:pPr>
      <w:r>
        <w:rPr>
          <w:color w:val="000000"/>
        </w:rPr>
        <w:t xml:space="preserve">GIL, A. C. </w:t>
      </w:r>
      <w:r>
        <w:rPr>
          <w:b/>
          <w:color w:val="000000"/>
        </w:rPr>
        <w:t>Como Elaborar Projetos de Pesquisa</w:t>
      </w:r>
      <w:r>
        <w:rPr>
          <w:color w:val="000000"/>
        </w:rPr>
        <w:t xml:space="preserve">. 7. ed. Barueri [SP]: Atlas, 2022. </w:t>
      </w:r>
    </w:p>
    <w:p>
      <w:pPr>
        <w:pStyle w:val="Normal"/>
        <w:pBdr/>
        <w:spacing w:lineRule="auto" w:line="240" w:before="0" w:after="120"/>
        <w:ind w:hanging="284" w:start="284"/>
        <w:jc w:val="start"/>
        <w:rPr>
          <w:color w:val="000000"/>
        </w:rPr>
      </w:pPr>
      <w:r>
        <w:rPr>
          <w:color w:val="000000"/>
        </w:rPr>
        <w:t xml:space="preserve">GOMES, B. F. DE O. et al. Impacto do Alto Risco Cardiovascular na Mortalidade Hospitalar em Pacientes Internados em Terapia Intensiva por COVID-19. </w:t>
      </w:r>
      <w:r>
        <w:rPr>
          <w:b/>
          <w:color w:val="000000"/>
        </w:rPr>
        <w:t>Arquivos Brasileiros de Cardiologia</w:t>
      </w:r>
      <w:r>
        <w:rPr>
          <w:color w:val="000000"/>
        </w:rPr>
        <w:t xml:space="preserve">, v. 118, n. 5, p. 927–934, 5 maio 2022. </w:t>
      </w:r>
    </w:p>
    <w:p>
      <w:pPr>
        <w:pStyle w:val="Normal"/>
        <w:pBdr/>
        <w:spacing w:lineRule="auto" w:line="240" w:before="0" w:after="120"/>
        <w:ind w:hanging="284" w:start="284"/>
        <w:jc w:val="start"/>
        <w:rPr>
          <w:color w:val="000000"/>
          <w:lang w:val="en-AU"/>
        </w:rPr>
      </w:pPr>
      <w:r>
        <w:rPr>
          <w:color w:val="000000"/>
        </w:rPr>
        <w:t xml:space="preserve">HULLEY, S. B. (ED.). </w:t>
      </w:r>
      <w:r>
        <w:rPr>
          <w:b/>
          <w:color w:val="000000"/>
          <w:lang w:val="en-AU"/>
        </w:rPr>
        <w:t>Designing clinical research</w:t>
      </w:r>
      <w:r>
        <w:rPr>
          <w:color w:val="000000"/>
          <w:lang w:val="en-AU"/>
        </w:rPr>
        <w:t xml:space="preserve">. 4th ed ed. Philadelphia: Wolters Kluwer/Lippincott Williams &amp; Wilkins, 2013. </w:t>
      </w:r>
    </w:p>
    <w:p>
      <w:pPr>
        <w:pStyle w:val="Normal"/>
        <w:pBdr/>
        <w:spacing w:lineRule="auto" w:line="240" w:before="0" w:after="120"/>
        <w:ind w:hanging="284" w:start="284"/>
        <w:jc w:val="start"/>
        <w:rPr>
          <w:color w:val="000000"/>
        </w:rPr>
      </w:pPr>
      <w:r>
        <w:rPr>
          <w:color w:val="000000"/>
        </w:rPr>
        <w:t xml:space="preserve">KORN, O. et al. DANOS ANATÔMICOS AO ESFÍNCTER ESOFÁGICO INFERIOR APÓS GASTRECTOMIA SUBTOTAL. </w:t>
      </w:r>
      <w:r>
        <w:rPr>
          <w:b/>
          <w:color w:val="000000"/>
        </w:rPr>
        <w:t>ABCD. Arquivos Brasileiros de Cirurgia Digestiva (São Paulo)</w:t>
      </w:r>
      <w:r>
        <w:rPr>
          <w:color w:val="000000"/>
        </w:rPr>
        <w:t xml:space="preserve">, v. 34, n. 4, p. e1633, 2021. </w:t>
      </w:r>
    </w:p>
    <w:p>
      <w:pPr>
        <w:pStyle w:val="Normal"/>
        <w:pBdr/>
        <w:spacing w:lineRule="auto" w:line="240" w:before="0" w:after="120"/>
        <w:ind w:hanging="284" w:start="284"/>
        <w:jc w:val="start"/>
        <w:rPr>
          <w:color w:val="000000"/>
        </w:rPr>
      </w:pPr>
      <w:r>
        <w:rPr>
          <w:color w:val="000000"/>
        </w:rPr>
        <w:t xml:space="preserve">LUNARDI, A. C. MANUAL DE PESQUISA CLINICA APLICADA A SAUDE. S.l.: BLUCHER, 2020. </w:t>
      </w:r>
    </w:p>
    <w:p>
      <w:pPr>
        <w:pStyle w:val="Normal"/>
        <w:pBdr/>
        <w:spacing w:lineRule="auto" w:line="240" w:before="0" w:after="120"/>
        <w:ind w:hanging="284" w:start="284"/>
        <w:jc w:val="start"/>
        <w:rPr>
          <w:color w:val="000000"/>
        </w:rPr>
      </w:pPr>
      <w:r>
        <w:rPr>
          <w:color w:val="000000"/>
        </w:rPr>
        <w:t xml:space="preserve">MALTA, M. et al. Iniciativa STROBE: subsídios para a comunicação de estudos observacionais. </w:t>
      </w:r>
      <w:r>
        <w:rPr>
          <w:b/>
          <w:color w:val="000000"/>
        </w:rPr>
        <w:t>Revista de Saúde Pública</w:t>
      </w:r>
      <w:r>
        <w:rPr>
          <w:color w:val="000000"/>
        </w:rPr>
        <w:t xml:space="preserve">, v. 44, n. 3, p. 559–565, jun. 2010. </w:t>
      </w:r>
    </w:p>
    <w:p>
      <w:pPr>
        <w:pStyle w:val="Normal"/>
        <w:pBdr/>
        <w:spacing w:lineRule="auto" w:line="240" w:before="0" w:after="120"/>
        <w:ind w:hanging="284" w:start="284"/>
        <w:jc w:val="start"/>
        <w:rPr>
          <w:color w:val="000000"/>
        </w:rPr>
      </w:pPr>
      <w:r>
        <w:rPr>
          <w:color w:val="000000"/>
        </w:rPr>
        <w:t xml:space="preserve">OPAS, O. P.-A. DE S. </w:t>
      </w:r>
      <w:r>
        <w:rPr>
          <w:b/>
          <w:color w:val="000000"/>
        </w:rPr>
        <w:t>Boas Práticas Clínicas: Documento das Américas</w:t>
      </w:r>
      <w:r>
        <w:rPr>
          <w:color w:val="000000"/>
        </w:rPr>
        <w:t>. 2005. Disponível em: &lt;https://bvsms.saude.gov.br/bvs/publicacoes/boas_praticas_clinicas_opas.pdf&gt;</w:t>
      </w:r>
    </w:p>
    <w:p>
      <w:pPr>
        <w:pStyle w:val="Normal"/>
        <w:pBdr/>
        <w:spacing w:lineRule="auto" w:line="240" w:before="0" w:after="120"/>
        <w:ind w:hanging="284" w:start="284"/>
        <w:jc w:val="start"/>
        <w:rPr>
          <w:color w:val="000000"/>
          <w:lang w:val="en-AU"/>
        </w:rPr>
      </w:pPr>
      <w:r>
        <w:rPr>
          <w:color w:val="000000"/>
          <w:lang w:val="en-AU"/>
        </w:rPr>
        <w:t xml:space="preserve">PAGE, M. J. et al. The PRISMA 2020 statement: an updated guideline for reporting systematic reviews. </w:t>
      </w:r>
      <w:r>
        <w:rPr>
          <w:b/>
          <w:color w:val="000000"/>
          <w:lang w:val="en-AU"/>
        </w:rPr>
        <w:t>BMJ</w:t>
      </w:r>
      <w:r>
        <w:rPr>
          <w:color w:val="000000"/>
          <w:lang w:val="en-AU"/>
        </w:rPr>
        <w:t xml:space="preserve">, p. n71, 29 mar. 2021. </w:t>
      </w:r>
    </w:p>
    <w:p>
      <w:pPr>
        <w:pStyle w:val="Normal"/>
        <w:pBdr/>
        <w:spacing w:lineRule="auto" w:line="240" w:before="0" w:after="120"/>
        <w:ind w:hanging="284" w:start="284"/>
        <w:jc w:val="start"/>
        <w:rPr>
          <w:color w:val="000000"/>
          <w:lang w:val="en-AU"/>
        </w:rPr>
      </w:pPr>
      <w:r>
        <w:rPr>
          <w:color w:val="000000"/>
          <w:lang w:val="en-AU"/>
        </w:rPr>
        <w:t xml:space="preserve">PAGE, M. J. et al. [The PRISMA 2020 statement: an updated guideline for reporting systematic reviews/ Declaración PRISMA 2020: una guía actualizada para la publicación de revisiones sistemáticas]. </w:t>
      </w:r>
      <w:r>
        <w:rPr>
          <w:b/>
          <w:color w:val="000000"/>
          <w:lang w:val="en-AU"/>
        </w:rPr>
        <w:t>Revista Panamericana De Salud Publica = Pan American Journal of Public Health</w:t>
      </w:r>
      <w:r>
        <w:rPr>
          <w:color w:val="000000"/>
          <w:lang w:val="en-AU"/>
        </w:rPr>
        <w:t xml:space="preserve">, v. 46, p. e112, 2022. </w:t>
      </w:r>
    </w:p>
    <w:p>
      <w:pPr>
        <w:pStyle w:val="Normal"/>
        <w:pBdr/>
        <w:spacing w:lineRule="auto" w:line="240" w:before="0" w:after="120"/>
        <w:ind w:hanging="284" w:start="284"/>
        <w:jc w:val="start"/>
        <w:rPr>
          <w:color w:val="000000"/>
        </w:rPr>
      </w:pPr>
      <w:r>
        <w:rPr>
          <w:color w:val="000000"/>
        </w:rPr>
        <w:t xml:space="preserve">ROSA, R. G. et al. </w:t>
      </w:r>
      <w:r>
        <w:rPr>
          <w:color w:val="000000"/>
          <w:lang w:val="en-AU"/>
        </w:rPr>
        <w:t xml:space="preserve">Quality of life and long-term outcomes after hospitalization for COVID-19: Protocol for a prospective cohort study (Coalition VII). </w:t>
      </w:r>
      <w:r>
        <w:rPr>
          <w:b/>
          <w:color w:val="000000"/>
        </w:rPr>
        <w:t>Revista Brasileira De Terapia Intensiva</w:t>
      </w:r>
      <w:r>
        <w:rPr>
          <w:color w:val="000000"/>
        </w:rPr>
        <w:t xml:space="preserve">, v. 33, n. 1, p. 31–37, 2021. </w:t>
      </w:r>
    </w:p>
    <w:p>
      <w:pPr>
        <w:pStyle w:val="Normal"/>
        <w:pBdr/>
        <w:spacing w:lineRule="auto" w:line="240" w:before="0" w:after="120"/>
        <w:ind w:hanging="284" w:start="284"/>
        <w:jc w:val="start"/>
        <w:rPr>
          <w:color w:val="000000"/>
        </w:rPr>
      </w:pPr>
      <w:r>
        <w:rPr>
          <w:color w:val="000000"/>
        </w:rPr>
        <w:t xml:space="preserve">TAVARES, J. et al. </w:t>
      </w:r>
      <w:r>
        <w:rPr>
          <w:color w:val="000000"/>
          <w:lang w:val="en-AU"/>
        </w:rPr>
        <w:t xml:space="preserve">Association between severe chronic kidney disease defined by cystatin-c and creatinine and clinical outcomes in an elderly population - an observational study. </w:t>
      </w:r>
      <w:r>
        <w:rPr>
          <w:b/>
          <w:color w:val="000000"/>
        </w:rPr>
        <w:t>Brazilian Journal of Nephrology</w:t>
      </w:r>
      <w:r>
        <w:rPr>
          <w:color w:val="000000"/>
        </w:rPr>
        <w:t xml:space="preserve">, v. 43, n. 2, p. 165–172, jun. 2021. </w:t>
      </w:r>
    </w:p>
    <w:p>
      <w:pPr>
        <w:pStyle w:val="Normal"/>
        <w:pBdr/>
        <w:spacing w:lineRule="auto" w:line="240" w:before="0" w:after="120"/>
        <w:ind w:hanging="284" w:start="284"/>
        <w:jc w:val="start"/>
        <w:rPr>
          <w:color w:val="000000"/>
        </w:rPr>
      </w:pPr>
      <w:r>
        <w:rPr>
          <w:color w:val="000000"/>
        </w:rPr>
        <w:t xml:space="preserve">VIEIRA, S.; HOSSNE, W. S. </w:t>
      </w:r>
      <w:r>
        <w:rPr>
          <w:b/>
          <w:color w:val="000000"/>
        </w:rPr>
        <w:t>Metodologia científica para a área de saúde</w:t>
      </w:r>
      <w:r>
        <w:rPr>
          <w:color w:val="000000"/>
        </w:rPr>
        <w:t xml:space="preserve">. 3. ed. Rio de Janeiro: GEN | Grupo Editorial Nacional S/A, 2021. </w:t>
      </w:r>
    </w:p>
    <w:p>
      <w:pPr>
        <w:pStyle w:val="Normal"/>
        <w:pBdr/>
        <w:spacing w:lineRule="auto" w:line="240" w:before="0" w:after="120"/>
        <w:ind w:hanging="284" w:start="284"/>
        <w:jc w:val="start"/>
        <w:rPr>
          <w:color w:val="000000"/>
          <w:lang w:val="en-AU"/>
        </w:rPr>
      </w:pPr>
      <w:r>
        <w:rPr>
          <w:color w:val="000000"/>
          <w:lang w:val="en-AU"/>
        </w:rPr>
        <w:t xml:space="preserve">YANG, F. et al. The Presence of Central Acetabular Osteophytes May Negatively Affect the Outcome After Primary Arthroscopic Therapy of Femoroacetabular Impingement Syndrome. </w:t>
      </w:r>
      <w:r>
        <w:rPr>
          <w:b/>
          <w:color w:val="000000"/>
          <w:lang w:val="en-AU"/>
        </w:rPr>
        <w:t>Arthroscopy: The Journal of Arthroscopic &amp; Related Surgery</w:t>
      </w:r>
      <w:r>
        <w:rPr>
          <w:color w:val="000000"/>
          <w:lang w:val="en-AU"/>
        </w:rPr>
        <w:t xml:space="preserve">, v. 38, n. 8, p. 2441–2448, ago. 2022. </w:t>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Normal"/>
        <w:pBdr/>
        <w:spacing w:lineRule="auto" w:line="240" w:before="0" w:after="120"/>
        <w:ind w:hanging="284" w:start="284"/>
        <w:jc w:val="start"/>
        <w:rPr>
          <w:color w:val="000000"/>
          <w:lang w:val="en-AU"/>
        </w:rPr>
      </w:pPr>
      <w:r>
        <w:rPr>
          <w:color w:val="000000"/>
          <w:lang w:val="en-AU"/>
        </w:rPr>
      </w:r>
    </w:p>
    <w:p>
      <w:pPr>
        <w:pStyle w:val="ListParagraph"/>
        <w:numPr>
          <w:ilvl w:val="0"/>
          <w:numId w:val="2"/>
        </w:numPr>
        <w:pBdr/>
        <w:spacing w:lineRule="auto" w:line="240" w:before="0" w:after="120"/>
        <w:contextualSpacing/>
        <w:jc w:val="start"/>
        <w:rPr>
          <w:b/>
          <w:bCs/>
          <w:color w:val="000000"/>
          <w:lang w:val="en-AU"/>
        </w:rPr>
      </w:pPr>
      <w:r>
        <w:rPr>
          <w:b/>
          <w:bCs/>
          <w:color w:val="000000"/>
          <w:lang w:val="en-AU"/>
        </w:rPr>
        <w:t>ANEXOS</w:t>
      </w:r>
    </w:p>
    <w:p>
      <w:pPr>
        <w:pStyle w:val="Normal"/>
        <w:pBdr/>
        <w:spacing w:lineRule="auto" w:line="240" w:before="0" w:after="120"/>
        <w:jc w:val="start"/>
        <w:rPr>
          <w:b/>
          <w:bCs/>
          <w:color w:val="000000"/>
          <w:lang w:val="en-AU"/>
        </w:rPr>
      </w:pPr>
      <w:r>
        <w:rPr>
          <w:b/>
          <w:bCs/>
          <w:color w:val="000000"/>
          <w:lang w:val="en-AU"/>
        </w:rPr>
      </w:r>
    </w:p>
    <w:sectPr>
      <w:headerReference w:type="even" r:id="rId43"/>
      <w:headerReference w:type="default" r:id="rId44"/>
      <w:headerReference w:type="first" r:id="rId45"/>
      <w:footerReference w:type="default" r:id="rId46"/>
      <w:footerReference w:type="first" r:id="rId47"/>
      <w:footnotePr>
        <w:numFmt w:val="decimal"/>
      </w:footnotePr>
      <w:type w:val="nextPage"/>
      <w:pgSz w:w="11906" w:h="16838"/>
      <w:pgMar w:left="1701" w:right="1134" w:gutter="0" w:header="851" w:top="1701" w:footer="851"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Calibr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0" w:characterSet="windows-1252"/>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r>
  </w:p>
  <w:p>
    <w:pPr>
      <w:pStyle w:val="Normal"/>
      <w:pBdr/>
      <w:tabs>
        <w:tab w:val="clear" w:pos="720"/>
        <w:tab w:val="center" w:pos="4419" w:leader="none"/>
        <w:tab w:val="right" w:pos="8838" w:leader="none"/>
      </w:tabs>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11</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12</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22</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21</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24</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23</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24</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27</w:t>
    </w:r>
    <w:r>
      <w:rPr>
        <w:color w:val="000000"/>
      </w:rPr>
      <w:fldChar w:fldCharType="end"/>
    </w:r>
  </w:p>
  <w:p>
    <w:pPr>
      <w:pStyle w:val="Normal"/>
      <w:pBdr/>
      <w:tabs>
        <w:tab w:val="clear" w:pos="720"/>
        <w:tab w:val="center" w:pos="4419" w:leader="none"/>
        <w:tab w:val="right" w:pos="8838" w:leader="none"/>
      </w:tabs>
      <w:rPr>
        <w:color w:val="000000"/>
      </w:rPr>
    </w:pPr>
    <w:r>
      <w:rPr>
        <w:color w:val="000000"/>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p>
    <w:pPr>
      <w:pStyle w:val="Normal"/>
      <w:pBdr/>
      <w:tabs>
        <w:tab w:val="clear" w:pos="720"/>
        <w:tab w:val="center" w:pos="4419" w:leader="none"/>
        <w:tab w:val="right" w:pos="8838" w:leader="none"/>
      </w:tabs>
      <w:jc w:val="center"/>
      <w:rPr>
        <w:color w:val="000000"/>
      </w:rPr>
    </w:pPr>
    <w:r>
      <w:rPr>
        <w:color w:val="00000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Normal"/>
        <w:pBdr/>
        <w:rPr>
          <w:rFonts w:ascii="Calibri" w:hAnsi="Calibri" w:eastAsia="Calibri" w:cs="Calibri"/>
          <w:color w:val="000000"/>
        </w:rPr>
      </w:pPr>
      <w:r>
        <w:rPr>
          <w:rStyle w:val="Caracteresdenotaderodap"/>
        </w:rPr>
        <w:footnoteRef/>
      </w:r>
      <w:r>
        <w:rPr>
          <w:rFonts w:eastAsia="Calibri" w:cs="Calibri" w:ascii="Calibri" w:hAnsi="Calibri"/>
          <w:color w:val="000000"/>
        </w:rPr>
        <w:t xml:space="preserve">   </w:t>
      </w:r>
      <w:hyperlink r:id="rId1">
        <w:r>
          <w:rPr>
            <w:rStyle w:val="Hyperlink"/>
            <w:rFonts w:eastAsia="Calibri" w:cs="Calibri" w:ascii="Calibri" w:hAnsi="Calibri"/>
            <w:color w:val="0000FF"/>
            <w:u w:val="single"/>
          </w:rPr>
          <w:t>https://www.ucs.br/site/biblioteca/normalizacao/</w:t>
        </w:r>
      </w:hyperlink>
      <w:r>
        <w:rPr>
          <w:rFonts w:eastAsia="Calibri" w:cs="Calibri" w:ascii="Calibri" w:hAnsi="Calibri"/>
          <w:color w:val="000000"/>
        </w:rPr>
        <w:t xml:space="preserve"> </w:t>
      </w:r>
    </w:p>
  </w:footnote>
  <w:footnote w:id="3">
    <w:p>
      <w:pPr>
        <w:pStyle w:val="Normal"/>
        <w:pBdr/>
        <w:tabs>
          <w:tab w:val="clear" w:pos="720"/>
          <w:tab w:val="center" w:pos="4419" w:leader="none"/>
          <w:tab w:val="right" w:pos="8838" w:leader="none"/>
        </w:tabs>
        <w:rPr>
          <w:color w:val="000000"/>
        </w:rPr>
      </w:pPr>
      <w:r>
        <w:rPr>
          <w:rStyle w:val="Caracteresdenotaderodap"/>
        </w:rPr>
        <w:footnoteRef/>
      </w:r>
      <w:r>
        <w:rPr>
          <w:color w:val="000000"/>
        </w:rPr>
        <w:t xml:space="preserve"> </w:t>
      </w:r>
      <w:hyperlink r:id="rId2">
        <w:r>
          <w:rPr>
            <w:rStyle w:val="Hyperlink"/>
            <w:color w:val="0000FF"/>
            <w:sz w:val="22"/>
            <w:szCs w:val="22"/>
            <w:u w:val="single"/>
          </w:rPr>
          <w:t>https://www.ucs.br/site/biblioteca/normalizacao/</w:t>
        </w:r>
      </w:hyperlink>
      <w:r>
        <w:rPr>
          <w:color w:val="000000"/>
        </w:rPr>
        <w:t xml:space="preserve"> </w:t>
      </w:r>
    </w:p>
  </w:footnote>
  <w:footnote w:id="4">
    <w:p>
      <w:pPr>
        <w:pStyle w:val="Normal"/>
        <w:pBdr/>
        <w:tabs>
          <w:tab w:val="clear" w:pos="720"/>
          <w:tab w:val="center" w:pos="4419" w:leader="none"/>
          <w:tab w:val="right" w:pos="8838" w:leader="none"/>
        </w:tabs>
        <w:rPr>
          <w:color w:val="000000"/>
        </w:rPr>
      </w:pPr>
      <w:r>
        <w:rPr>
          <w:rStyle w:val="Caracteresdenotaderodap"/>
        </w:rPr>
        <w:footnoteRef/>
      </w:r>
      <w:r>
        <w:rPr>
          <w:color w:val="000000"/>
        </w:rPr>
        <w:t xml:space="preserve"> </w:t>
      </w:r>
      <w:hyperlink r:id="rId3">
        <w:r>
          <w:rPr>
            <w:rStyle w:val="Hyperlink"/>
            <w:color w:val="0000FF"/>
            <w:sz w:val="22"/>
            <w:szCs w:val="22"/>
            <w:u w:val="single"/>
          </w:rPr>
          <w:t>https://zbib.org/</w:t>
        </w:r>
      </w:hyperlink>
      <w:r>
        <w:rPr>
          <w:color w:val="000000"/>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color w:val="000000"/>
      </w:rPr>
    </w:pPr>
    <w:r>
      <w:rPr>
        <w:color w:val="000000"/>
      </w:rPr>
    </w:r>
  </w:p>
  <w:p>
    <w:pPr>
      <w:pStyle w:val="Normal"/>
      <w:pBdr/>
      <w:tabs>
        <w:tab w:val="clear" w:pos="720"/>
        <w:tab w:val="center" w:pos="4419" w:leader="none"/>
        <w:tab w:val="right" w:pos="8838" w:leader="none"/>
      </w:tabs>
      <w:rPr>
        <w:color w:val="000000"/>
      </w:rPr>
    </w:pPr>
    <w:r>
      <w:rPr>
        <w:color w:val="00000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b/>
        <w:color w:val="000000"/>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color w:val="000000"/>
      </w:rPr>
      <w:t xml:space="preserve"> </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color w:val="000000"/>
      </w:rPr>
      <w:t xml:space="preserve"> </w: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color w:val="000000"/>
      </w:rPr>
      <w:t xml:space="preserve"> </w: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color w:val="000000"/>
      </w:rPr>
      <w:t xml:space="preserve"> </w: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419" w:leader="none"/>
        <w:tab w:val="right" w:pos="8838" w:leader="none"/>
      </w:tabs>
      <w:jc w:val="end"/>
      <w:rPr>
        <w:b/>
        <w:color w:val="000000"/>
      </w:rPr>
    </w:pPr>
    <w:r>
      <w:rPr>
        <w:color w:val="000000"/>
      </w:rPr>
      <w:t xml:space="preserve"> </w: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419" w:leader="none"/>
        <w:tab w:val="right" w:pos="8838" w:leader="none"/>
      </w:tabs>
      <w:jc w:val="end"/>
      <w:rPr>
        <w:b/>
      </w:rPr>
    </w:pPr>
    <w:r>
      <w:rPr/>
      <w:t xml:space="preserve"> </w: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pStyle w:val="Heading7"/>
      <w:lvlText w:val="%7."/>
      <w:lvlJc w:val="start"/>
      <w:pPr>
        <w:tabs>
          <w:tab w:val="num" w:pos="5040"/>
        </w:tabs>
        <w:ind w:start="5040" w:hanging="720"/>
      </w:pPr>
      <w:rPr/>
    </w:lvl>
    <w:lvl w:ilvl="7">
      <w:start w:val="1"/>
      <w:numFmt w:val="decimal"/>
      <w:pStyle w:val="Heading8"/>
      <w:lvlText w:val="%8."/>
      <w:lvlJc w:val="start"/>
      <w:pPr>
        <w:tabs>
          <w:tab w:val="num" w:pos="5760"/>
        </w:tabs>
        <w:ind w:start="5760" w:hanging="720"/>
      </w:pPr>
      <w:rPr/>
    </w:lvl>
    <w:lvl w:ilvl="8">
      <w:start w:val="1"/>
      <w:numFmt w:val="decimal"/>
      <w:pStyle w:val="Heading9"/>
      <w:lvlText w:val="%9."/>
      <w:lvlJc w:val="start"/>
      <w:pPr>
        <w:tabs>
          <w:tab w:val="num" w:pos="6480"/>
        </w:tabs>
        <w:ind w:start="6480" w:hanging="720"/>
      </w:pPr>
      <w:rPr/>
    </w:lvl>
  </w:abstractNum>
  <w:abstractNum w:abstractNumId="2">
    <w:lvl w:ilvl="0">
      <w:start w:val="1"/>
      <w:numFmt w:val="decimal"/>
      <w:lvlText w:val="%1."/>
      <w:lvlJc w:val="start"/>
      <w:pPr>
        <w:tabs>
          <w:tab w:val="num" w:pos="0"/>
        </w:tabs>
        <w:ind w:start="360" w:hanging="360"/>
      </w:pPr>
      <w:rPr>
        <w:rFonts w:ascii="Times New Roman" w:hAnsi="Times New Roman" w:eastAsia="Times New Roman" w:cs="Times New Roman"/>
        <w:b/>
        <w:i w:val="false"/>
        <w:smallCaps/>
        <w:strike w:val="false"/>
        <w:dstrike w:val="false"/>
        <w:position w:val="0"/>
        <w:sz w:val="26"/>
        <w:szCs w:val="26"/>
        <w:u w:val="none"/>
        <w:vertAlign w:val="baseline"/>
      </w:rPr>
    </w:lvl>
    <w:lvl w:ilvl="1">
      <w:start w:val="1"/>
      <w:numFmt w:val="decimal"/>
      <w:lvlText w:val="%1.%2"/>
      <w:lvlJc w:val="start"/>
      <w:pPr>
        <w:tabs>
          <w:tab w:val="num" w:pos="0"/>
        </w:tabs>
        <w:ind w:start="1711" w:hanging="576"/>
      </w:pPr>
      <w:rPr>
        <w:rFonts w:ascii="Times New Roman" w:hAnsi="Times New Roman" w:eastAsia="Times New Roman" w:cs="Times New Roman"/>
        <w:b/>
        <w:i w:val="false"/>
        <w:sz w:val="26"/>
        <w:szCs w:val="26"/>
      </w:rPr>
    </w:lvl>
    <w:lvl w:ilvl="2">
      <w:start w:val="1"/>
      <w:numFmt w:val="decimal"/>
      <w:lvlText w:val="%1.%2.%3"/>
      <w:lvlJc w:val="start"/>
      <w:pPr>
        <w:tabs>
          <w:tab w:val="num" w:pos="0"/>
        </w:tabs>
        <w:ind w:start="4265" w:hanging="1146"/>
      </w:pPr>
      <w:rPr>
        <w:rFonts w:ascii="Times New Roman" w:hAnsi="Times New Roman" w:eastAsia="Times New Roman" w:cs="Times New Roman"/>
        <w:b/>
        <w:i w:val="false"/>
        <w:sz w:val="26"/>
        <w:szCs w:val="26"/>
      </w:rPr>
    </w:lvl>
    <w:lvl w:ilvl="3">
      <w:start w:val="1"/>
      <w:numFmt w:val="decimal"/>
      <w:lvlText w:val="%1.%2.%3.%4"/>
      <w:lvlJc w:val="start"/>
      <w:pPr>
        <w:tabs>
          <w:tab w:val="num" w:pos="0"/>
        </w:tabs>
        <w:ind w:start="864" w:hanging="864"/>
      </w:pPr>
      <w:rPr>
        <w:rFonts w:ascii="Times New Roman" w:hAnsi="Times New Roman" w:eastAsia="Times New Roman" w:cs="Times New Roman"/>
        <w:b/>
        <w:i w:val="false"/>
        <w:sz w:val="26"/>
        <w:szCs w:val="26"/>
      </w:rPr>
    </w:lvl>
    <w:lvl w:ilvl="4">
      <w:start w:val="1"/>
      <w:numFmt w:val="decimal"/>
      <w:lvlText w:val="%1.%2.%3.%4.%5"/>
      <w:lvlJc w:val="start"/>
      <w:pPr>
        <w:tabs>
          <w:tab w:val="num" w:pos="0"/>
        </w:tabs>
        <w:ind w:start="4553" w:hanging="1008"/>
      </w:pPr>
      <w:rPr/>
    </w:lvl>
    <w:lvl w:ilvl="5">
      <w:start w:val="1"/>
      <w:numFmt w:val="decimal"/>
      <w:lvlText w:val="%1.%2.%3.%4.%5.%6"/>
      <w:lvlJc w:val="start"/>
      <w:pPr>
        <w:tabs>
          <w:tab w:val="num" w:pos="0"/>
        </w:tabs>
        <w:ind w:start="1152" w:hanging="1152"/>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abstractNum w:abstractNumId="3">
    <w:lvl w:ilvl="0">
      <w:start w:val="1"/>
      <w:numFmt w:val="bullet"/>
      <w:lvlText w:val="−"/>
      <w:lvlJc w:val="start"/>
      <w:pPr>
        <w:tabs>
          <w:tab w:val="num" w:pos="0"/>
        </w:tabs>
        <w:ind w:start="1352" w:hanging="360"/>
      </w:pPr>
      <w:rPr>
        <w:rFonts w:ascii="Noto Sans Symbols" w:hAnsi="Noto Sans Symbols" w:cs="Noto Sans Symbols" w:hint="default"/>
      </w:rPr>
    </w:lvl>
    <w:lvl w:ilvl="1">
      <w:start w:val="1"/>
      <w:numFmt w:val="bullet"/>
      <w:lvlText w:val="o"/>
      <w:lvlJc w:val="start"/>
      <w:pPr>
        <w:tabs>
          <w:tab w:val="num" w:pos="0"/>
        </w:tabs>
        <w:ind w:start="1789" w:hanging="360"/>
      </w:pPr>
      <w:rPr>
        <w:rFonts w:ascii="Courier New" w:hAnsi="Courier New" w:cs="Courier New" w:hint="default"/>
      </w:rPr>
    </w:lvl>
    <w:lvl w:ilvl="2">
      <w:start w:val="1"/>
      <w:numFmt w:val="bullet"/>
      <w:lvlText w:val="▪"/>
      <w:lvlJc w:val="start"/>
      <w:pPr>
        <w:tabs>
          <w:tab w:val="num" w:pos="0"/>
        </w:tabs>
        <w:ind w:start="2509" w:hanging="360"/>
      </w:pPr>
      <w:rPr>
        <w:rFonts w:ascii="Noto Sans Symbols" w:hAnsi="Noto Sans Symbols" w:cs="Noto Sans Symbols" w:hint="default"/>
      </w:rPr>
    </w:lvl>
    <w:lvl w:ilvl="3">
      <w:start w:val="1"/>
      <w:numFmt w:val="bullet"/>
      <w:lvlText w:val="●"/>
      <w:lvlJc w:val="start"/>
      <w:pPr>
        <w:tabs>
          <w:tab w:val="num" w:pos="0"/>
        </w:tabs>
        <w:ind w:start="3229" w:hanging="360"/>
      </w:pPr>
      <w:rPr>
        <w:rFonts w:ascii="Noto Sans Symbols" w:hAnsi="Noto Sans Symbols" w:cs="Noto Sans Symbols" w:hint="default"/>
      </w:rPr>
    </w:lvl>
    <w:lvl w:ilvl="4">
      <w:start w:val="1"/>
      <w:numFmt w:val="bullet"/>
      <w:lvlText w:val="o"/>
      <w:lvlJc w:val="start"/>
      <w:pPr>
        <w:tabs>
          <w:tab w:val="num" w:pos="0"/>
        </w:tabs>
        <w:ind w:start="3949" w:hanging="360"/>
      </w:pPr>
      <w:rPr>
        <w:rFonts w:ascii="Courier New" w:hAnsi="Courier New" w:cs="Courier New" w:hint="default"/>
      </w:rPr>
    </w:lvl>
    <w:lvl w:ilvl="5">
      <w:start w:val="1"/>
      <w:numFmt w:val="bullet"/>
      <w:lvlText w:val="▪"/>
      <w:lvlJc w:val="start"/>
      <w:pPr>
        <w:tabs>
          <w:tab w:val="num" w:pos="0"/>
        </w:tabs>
        <w:ind w:start="4669" w:hanging="360"/>
      </w:pPr>
      <w:rPr>
        <w:rFonts w:ascii="Noto Sans Symbols" w:hAnsi="Noto Sans Symbols" w:cs="Noto Sans Symbols" w:hint="default"/>
      </w:rPr>
    </w:lvl>
    <w:lvl w:ilvl="6">
      <w:start w:val="1"/>
      <w:numFmt w:val="bullet"/>
      <w:lvlText w:val="●"/>
      <w:lvlJc w:val="start"/>
      <w:pPr>
        <w:tabs>
          <w:tab w:val="num" w:pos="0"/>
        </w:tabs>
        <w:ind w:start="5389" w:hanging="360"/>
      </w:pPr>
      <w:rPr>
        <w:rFonts w:ascii="Noto Sans Symbols" w:hAnsi="Noto Sans Symbols" w:cs="Noto Sans Symbols" w:hint="default"/>
      </w:rPr>
    </w:lvl>
    <w:lvl w:ilvl="7">
      <w:start w:val="1"/>
      <w:numFmt w:val="bullet"/>
      <w:lvlText w:val="o"/>
      <w:lvlJc w:val="start"/>
      <w:pPr>
        <w:tabs>
          <w:tab w:val="num" w:pos="0"/>
        </w:tabs>
        <w:ind w:start="6109" w:hanging="360"/>
      </w:pPr>
      <w:rPr>
        <w:rFonts w:ascii="Courier New" w:hAnsi="Courier New" w:cs="Courier New" w:hint="default"/>
      </w:rPr>
    </w:lvl>
    <w:lvl w:ilvl="8">
      <w:start w:val="1"/>
      <w:numFmt w:val="bullet"/>
      <w:lvlText w:val="▪"/>
      <w:lvlJc w:val="start"/>
      <w:pPr>
        <w:tabs>
          <w:tab w:val="num" w:pos="0"/>
        </w:tabs>
        <w:ind w:start="6829"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429" w:hanging="360"/>
      </w:pPr>
      <w:rPr>
        <w:rFonts w:ascii="Noto Sans Symbols" w:hAnsi="Noto Sans Symbols" w:cs="Noto Sans Symbols"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Noto Sans Symbols" w:hAnsi="Noto Sans Symbols" w:cs="Noto Sans Symbols" w:hint="default"/>
      </w:rPr>
    </w:lvl>
    <w:lvl w:ilvl="3">
      <w:start w:val="1"/>
      <w:numFmt w:val="bullet"/>
      <w:lvlText w:val="●"/>
      <w:lvlJc w:val="start"/>
      <w:pPr>
        <w:tabs>
          <w:tab w:val="num" w:pos="0"/>
        </w:tabs>
        <w:ind w:start="3589" w:hanging="360"/>
      </w:pPr>
      <w:rPr>
        <w:rFonts w:ascii="Noto Sans Symbols" w:hAnsi="Noto Sans Symbols" w:cs="Noto Sans Symbols"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Noto Sans Symbols" w:hAnsi="Noto Sans Symbols" w:cs="Noto Sans Symbols" w:hint="default"/>
      </w:rPr>
    </w:lvl>
    <w:lvl w:ilvl="6">
      <w:start w:val="1"/>
      <w:numFmt w:val="bullet"/>
      <w:lvlText w:val="●"/>
      <w:lvlJc w:val="start"/>
      <w:pPr>
        <w:tabs>
          <w:tab w:val="num" w:pos="0"/>
        </w:tabs>
        <w:ind w:start="5749" w:hanging="360"/>
      </w:pPr>
      <w:rPr>
        <w:rFonts w:ascii="Noto Sans Symbols" w:hAnsi="Noto Sans Symbols" w:cs="Noto Sans Symbols"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Noto Sans Symbols" w:hAnsi="Noto Sans Symbols" w:cs="Noto Sans Symbol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embedTrueTypeFonts/>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pt-BR" w:eastAsia="en-A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395e"/>
    <w:pPr>
      <w:widowControl/>
      <w:bidi w:val="0"/>
      <w:spacing w:lineRule="auto" w:line="360" w:before="0" w:after="0"/>
      <w:jc w:val="both"/>
    </w:pPr>
    <w:rPr>
      <w:rFonts w:ascii="Times New Roman" w:hAnsi="Times New Roman" w:eastAsia="Times New Roman" w:cs="Times New Roman"/>
      <w:color w:val="auto"/>
      <w:kern w:val="0"/>
      <w:sz w:val="24"/>
      <w:szCs w:val="24"/>
      <w:lang w:eastAsia="en-US" w:val="pt-BR" w:bidi="ar-SA"/>
    </w:rPr>
  </w:style>
  <w:style w:type="paragraph" w:styleId="Heading1">
    <w:name w:val="heading 1"/>
    <w:basedOn w:val="Normal"/>
    <w:next w:val="Normal"/>
    <w:link w:val="Heading1Char"/>
    <w:uiPriority w:val="9"/>
    <w:qFormat/>
    <w:rsid w:val="009c397d"/>
    <w:pPr>
      <w:keepNext w:val="true"/>
      <w:spacing w:before="0" w:after="240"/>
      <w:ind w:hanging="357" w:start="357"/>
      <w:jc w:val="start"/>
      <w:outlineLvl w:val="0"/>
    </w:pPr>
    <w:rPr>
      <w:rFonts w:eastAsia="MS Mincho" w:cs="Arial"/>
      <w:b/>
      <w:bCs/>
      <w:caps/>
      <w:sz w:val="26"/>
      <w:szCs w:val="28"/>
      <w:lang w:eastAsia="pt-BR"/>
    </w:rPr>
  </w:style>
  <w:style w:type="paragraph" w:styleId="Heading2">
    <w:name w:val="heading 2"/>
    <w:basedOn w:val="Normal"/>
    <w:next w:val="Normal"/>
    <w:link w:val="Heading2Char"/>
    <w:uiPriority w:val="9"/>
    <w:unhideWhenUsed/>
    <w:qFormat/>
    <w:rsid w:val="00b54eea"/>
    <w:pPr>
      <w:keepNext w:val="true"/>
      <w:spacing w:before="240" w:after="120"/>
      <w:ind w:hanging="578" w:start="578"/>
      <w:outlineLvl w:val="1"/>
    </w:pPr>
    <w:rPr>
      <w:rFonts w:cs="Arial"/>
      <w:b/>
      <w:bCs/>
      <w:sz w:val="26"/>
      <w:szCs w:val="26"/>
      <w:lang w:eastAsia="pt-BR"/>
    </w:rPr>
  </w:style>
  <w:style w:type="paragraph" w:styleId="Heading3">
    <w:name w:val="heading 3"/>
    <w:basedOn w:val="Normal"/>
    <w:next w:val="Normal"/>
    <w:link w:val="Heading3Char"/>
    <w:uiPriority w:val="9"/>
    <w:unhideWhenUsed/>
    <w:qFormat/>
    <w:rsid w:val="00860bce"/>
    <w:pPr>
      <w:keepNext w:val="true"/>
      <w:spacing w:before="120" w:after="0"/>
      <w:ind w:hanging="624" w:start="1078"/>
      <w:jc w:val="start"/>
      <w:outlineLvl w:val="2"/>
    </w:pPr>
    <w:rPr>
      <w:rFonts w:cs="Arial"/>
      <w:b/>
      <w:bCs/>
      <w:sz w:val="26"/>
      <w:szCs w:val="26"/>
      <w:lang w:eastAsia="pt-BR"/>
    </w:rPr>
  </w:style>
  <w:style w:type="paragraph" w:styleId="Heading4">
    <w:name w:val="heading 4"/>
    <w:basedOn w:val="Normal"/>
    <w:next w:val="Normal"/>
    <w:link w:val="Heading4Char"/>
    <w:uiPriority w:val="9"/>
    <w:semiHidden/>
    <w:unhideWhenUsed/>
    <w:qFormat/>
    <w:rsid w:val="00496b09"/>
    <w:pPr>
      <w:keepNext w:val="true"/>
      <w:outlineLvl w:val="3"/>
    </w:pPr>
    <w:rPr>
      <w:b/>
      <w:bCs/>
      <w:sz w:val="26"/>
      <w:szCs w:val="26"/>
      <w:lang w:eastAsia="pt-BR"/>
    </w:rPr>
  </w:style>
  <w:style w:type="paragraph" w:styleId="Heading5">
    <w:name w:val="heading 5"/>
    <w:basedOn w:val="Normal"/>
    <w:next w:val="Normal"/>
    <w:link w:val="Heading5Char"/>
    <w:uiPriority w:val="9"/>
    <w:semiHidden/>
    <w:unhideWhenUsed/>
    <w:qFormat/>
    <w:rsid w:val="00403bb8"/>
    <w:pPr>
      <w:outlineLvl w:val="4"/>
    </w:pPr>
    <w:rPr>
      <w:b/>
      <w:bCs/>
      <w:iCs/>
      <w:sz w:val="26"/>
      <w:szCs w:val="26"/>
      <w:lang w:eastAsia="pt-BR"/>
    </w:rPr>
  </w:style>
  <w:style w:type="paragraph" w:styleId="Heading6">
    <w:name w:val="heading 6"/>
    <w:basedOn w:val="Normal"/>
    <w:next w:val="Normal"/>
    <w:link w:val="Heading6Char"/>
    <w:uiPriority w:val="9"/>
    <w:semiHidden/>
    <w:unhideWhenUsed/>
    <w:qFormat/>
    <w:rsid w:val="00481286"/>
    <w:pPr>
      <w:spacing w:before="240" w:after="60"/>
      <w:outlineLvl w:val="5"/>
    </w:pPr>
    <w:rPr>
      <w:b/>
      <w:bCs/>
      <w:sz w:val="22"/>
      <w:szCs w:val="22"/>
      <w:lang w:eastAsia="pt-BR"/>
    </w:rPr>
  </w:style>
  <w:style w:type="paragraph" w:styleId="Heading7">
    <w:name w:val="heading 7"/>
    <w:basedOn w:val="Normal"/>
    <w:next w:val="Normal"/>
    <w:link w:val="Heading7Char"/>
    <w:qFormat/>
    <w:rsid w:val="00481286"/>
    <w:pPr>
      <w:numPr>
        <w:ilvl w:val="6"/>
        <w:numId w:val="1"/>
      </w:numPr>
      <w:spacing w:before="240" w:after="60"/>
      <w:outlineLvl w:val="6"/>
    </w:pPr>
    <w:rPr>
      <w:lang w:eastAsia="pt-BR"/>
    </w:rPr>
  </w:style>
  <w:style w:type="paragraph" w:styleId="Heading8">
    <w:name w:val="heading 8"/>
    <w:basedOn w:val="Normal"/>
    <w:next w:val="Normal"/>
    <w:link w:val="Heading8Char"/>
    <w:qFormat/>
    <w:rsid w:val="00481286"/>
    <w:pPr>
      <w:numPr>
        <w:ilvl w:val="7"/>
        <w:numId w:val="1"/>
      </w:numPr>
      <w:spacing w:before="240" w:after="60"/>
      <w:outlineLvl w:val="7"/>
    </w:pPr>
    <w:rPr>
      <w:i/>
      <w:iCs/>
      <w:lang w:eastAsia="pt-BR"/>
    </w:rPr>
  </w:style>
  <w:style w:type="paragraph" w:styleId="Heading9">
    <w:name w:val="heading 9"/>
    <w:basedOn w:val="Normal"/>
    <w:next w:val="Normal"/>
    <w:link w:val="Heading9Char"/>
    <w:qFormat/>
    <w:rsid w:val="00481286"/>
    <w:pPr>
      <w:numPr>
        <w:ilvl w:val="8"/>
        <w:numId w:val="1"/>
      </w:numPr>
      <w:spacing w:before="240" w:after="60"/>
      <w:outlineLvl w:val="8"/>
    </w:pPr>
    <w:rPr>
      <w:rFonts w:cs="Arial"/>
      <w:b/>
      <w:bCs/>
      <w:sz w:val="22"/>
      <w:szCs w:val="22"/>
      <w:lang w:eastAsia="pt-BR"/>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qFormat/>
    <w:rsid w:val="009c397d"/>
    <w:rPr>
      <w:rFonts w:eastAsia="MS Mincho" w:cs="Arial"/>
      <w:b/>
      <w:bCs/>
      <w:caps/>
      <w:sz w:val="26"/>
      <w:szCs w:val="28"/>
    </w:rPr>
  </w:style>
  <w:style w:type="character" w:styleId="Heading2Char" w:customStyle="1">
    <w:name w:val="Heading 2 Char"/>
    <w:basedOn w:val="DefaultParagraphFont"/>
    <w:qFormat/>
    <w:rsid w:val="00b54eea"/>
    <w:rPr>
      <w:rFonts w:cs="Arial"/>
      <w:b/>
      <w:bCs/>
      <w:sz w:val="26"/>
      <w:szCs w:val="26"/>
    </w:rPr>
  </w:style>
  <w:style w:type="character" w:styleId="Heading3Char" w:customStyle="1">
    <w:name w:val="Heading 3 Char"/>
    <w:basedOn w:val="DefaultParagraphFont"/>
    <w:qFormat/>
    <w:rsid w:val="00860bce"/>
    <w:rPr>
      <w:rFonts w:cs="Arial"/>
      <w:b/>
      <w:bCs/>
      <w:sz w:val="26"/>
      <w:szCs w:val="26"/>
    </w:rPr>
  </w:style>
  <w:style w:type="character" w:styleId="Heading4Char" w:customStyle="1">
    <w:name w:val="Heading 4 Char"/>
    <w:basedOn w:val="DefaultParagraphFont"/>
    <w:qFormat/>
    <w:rsid w:val="00496b09"/>
    <w:rPr>
      <w:rFonts w:ascii="Arial" w:hAnsi="Arial"/>
      <w:b/>
      <w:bCs/>
      <w:sz w:val="26"/>
      <w:szCs w:val="26"/>
    </w:rPr>
  </w:style>
  <w:style w:type="character" w:styleId="Heading5Char" w:customStyle="1">
    <w:name w:val="Heading 5 Char"/>
    <w:basedOn w:val="DefaultParagraphFont"/>
    <w:qFormat/>
    <w:rsid w:val="00403bb8"/>
    <w:rPr>
      <w:rFonts w:ascii="Arial" w:hAnsi="Arial"/>
      <w:b/>
      <w:bCs/>
      <w:iCs/>
      <w:sz w:val="26"/>
      <w:szCs w:val="26"/>
    </w:rPr>
  </w:style>
  <w:style w:type="character" w:styleId="Heading6Char" w:customStyle="1">
    <w:name w:val="Heading 6 Char"/>
    <w:basedOn w:val="DefaultParagraphFont"/>
    <w:qFormat/>
    <w:rsid w:val="00481286"/>
    <w:rPr>
      <w:rFonts w:ascii="Arial" w:hAnsi="Arial"/>
      <w:b/>
      <w:bCs/>
      <w:sz w:val="22"/>
      <w:szCs w:val="22"/>
    </w:rPr>
  </w:style>
  <w:style w:type="character" w:styleId="Heading7Char" w:customStyle="1">
    <w:name w:val="Heading 7 Char"/>
    <w:basedOn w:val="DefaultParagraphFont"/>
    <w:qFormat/>
    <w:rsid w:val="00481286"/>
    <w:rPr>
      <w:rFonts w:ascii="Arial" w:hAnsi="Arial"/>
      <w:sz w:val="24"/>
      <w:szCs w:val="24"/>
    </w:rPr>
  </w:style>
  <w:style w:type="character" w:styleId="Heading8Char" w:customStyle="1">
    <w:name w:val="Heading 8 Char"/>
    <w:basedOn w:val="DefaultParagraphFont"/>
    <w:qFormat/>
    <w:rsid w:val="00481286"/>
    <w:rPr>
      <w:rFonts w:ascii="Arial" w:hAnsi="Arial"/>
      <w:i/>
      <w:iCs/>
      <w:sz w:val="24"/>
      <w:szCs w:val="24"/>
    </w:rPr>
  </w:style>
  <w:style w:type="character" w:styleId="Heading9Char" w:customStyle="1">
    <w:name w:val="Heading 9 Char"/>
    <w:basedOn w:val="DefaultParagraphFont"/>
    <w:qFormat/>
    <w:rsid w:val="00481286"/>
    <w:rPr>
      <w:rFonts w:ascii="Arial" w:hAnsi="Arial" w:cs="Arial"/>
      <w:b/>
      <w:bCs/>
      <w:sz w:val="22"/>
      <w:szCs w:val="22"/>
    </w:rPr>
  </w:style>
  <w:style w:type="character" w:styleId="BodyTextChar" w:customStyle="1">
    <w:name w:val="Body Text Char"/>
    <w:basedOn w:val="DefaultParagraphFont"/>
    <w:qFormat/>
    <w:rsid w:val="00860bce"/>
    <w:rPr>
      <w:rFonts w:cs="Arial"/>
      <w:sz w:val="24"/>
      <w:szCs w:val="24"/>
    </w:rPr>
  </w:style>
  <w:style w:type="character" w:styleId="PageNumber">
    <w:name w:val="page number"/>
    <w:basedOn w:val="DefaultParagraphFont"/>
    <w:rsid w:val="002b659c"/>
    <w:rPr/>
  </w:style>
  <w:style w:type="character" w:styleId="HeaderChar" w:customStyle="1">
    <w:name w:val="Header Char"/>
    <w:basedOn w:val="DefaultParagraphFont"/>
    <w:qFormat/>
    <w:rsid w:val="00616ea7"/>
    <w:rPr>
      <w:sz w:val="24"/>
      <w:szCs w:val="24"/>
      <w:lang w:eastAsia="en-US"/>
    </w:rPr>
  </w:style>
  <w:style w:type="character" w:styleId="FooterChar" w:customStyle="1">
    <w:name w:val="Footer Char"/>
    <w:basedOn w:val="DefaultParagraphFont"/>
    <w:uiPriority w:val="99"/>
    <w:qFormat/>
    <w:rsid w:val="002b659c"/>
    <w:rPr>
      <w:lang w:val="pt-BR" w:eastAsia="en-US" w:bidi="ar-SA"/>
    </w:rPr>
  </w:style>
  <w:style w:type="character" w:styleId="Hyperlink">
    <w:name w:val="Hyperlink"/>
    <w:basedOn w:val="DefaultParagraphFont"/>
    <w:uiPriority w:val="99"/>
    <w:qFormat/>
    <w:rsid w:val="00a05c7f"/>
    <w:rPr>
      <w:rFonts w:ascii="Times New Roman" w:hAnsi="Times New Roman"/>
      <w:color w:val="0000FF"/>
      <w:sz w:val="22"/>
      <w:u w:val="single"/>
    </w:rPr>
  </w:style>
  <w:style w:type="character" w:styleId="TitleChar" w:customStyle="1">
    <w:name w:val="Title Char"/>
    <w:basedOn w:val="DefaultParagraphFont"/>
    <w:qFormat/>
    <w:rsid w:val="001e3904"/>
    <w:rPr>
      <w:rFonts w:cs="Arial"/>
      <w:b/>
      <w:sz w:val="26"/>
      <w:szCs w:val="26"/>
    </w:rPr>
  </w:style>
  <w:style w:type="character" w:styleId="BalloonTextChar" w:customStyle="1">
    <w:name w:val="Balloon Text Char"/>
    <w:basedOn w:val="DefaultParagraphFont"/>
    <w:link w:val="BalloonText"/>
    <w:semiHidden/>
    <w:qFormat/>
    <w:rsid w:val="002b659c"/>
    <w:rPr>
      <w:rFonts w:ascii="Tahoma" w:hAnsi="Tahoma" w:cs="Tahoma"/>
      <w:sz w:val="16"/>
      <w:szCs w:val="16"/>
      <w:lang w:val="en-US" w:eastAsia="pt-BR" w:bidi="ar-SA"/>
    </w:rPr>
  </w:style>
  <w:style w:type="character" w:styleId="FootnoteTextChar" w:customStyle="1">
    <w:name w:val="Footnote Text Char"/>
    <w:basedOn w:val="DefaultParagraphFont"/>
    <w:qFormat/>
    <w:rsid w:val="002b659c"/>
    <w:rPr>
      <w:rFonts w:ascii="Calibri" w:hAnsi="Calibri" w:cs="Calibri"/>
      <w:lang w:val="en-US" w:eastAsia="en-US" w:bidi="ar-SA"/>
    </w:rPr>
  </w:style>
  <w:style w:type="character" w:styleId="Caracteresdenotaderodap">
    <w:name w:val="Caracteres de nota de rodapé"/>
    <w:basedOn w:val="DefaultParagraphFont"/>
    <w:semiHidden/>
    <w:qFormat/>
    <w:rsid w:val="002b659c"/>
    <w:rPr>
      <w:vertAlign w:val="superscript"/>
    </w:rPr>
  </w:style>
  <w:style w:type="character" w:styleId="FootnoteReference">
    <w:name w:val="footnote reference"/>
    <w:rPr>
      <w:vertAlign w:val="superscript"/>
    </w:rPr>
  </w:style>
  <w:style w:type="character" w:styleId="Negrito-HG" w:customStyle="1">
    <w:name w:val="Negrito - HG"/>
    <w:basedOn w:val="DefaultParagraphFont"/>
    <w:qFormat/>
    <w:rsid w:val="007130e1"/>
    <w:rPr>
      <w:rFonts w:ascii="Times New Roman" w:hAnsi="Times New Roman"/>
      <w:b/>
      <w:sz w:val="24"/>
    </w:rPr>
  </w:style>
  <w:style w:type="character" w:styleId="TtuloSumrio-HG" w:customStyle="1">
    <w:name w:val="Título Sumário - HG"/>
    <w:basedOn w:val="Negrito-HG"/>
    <w:qFormat/>
    <w:rsid w:val="007130e1"/>
    <w:rPr>
      <w:rFonts w:ascii="Times New Roman" w:hAnsi="Times New Roman"/>
      <w:b/>
      <w:bCs/>
      <w:sz w:val="24"/>
    </w:rPr>
  </w:style>
  <w:style w:type="character" w:styleId="UnresolvedMention">
    <w:name w:val="Unresolved Mention"/>
    <w:basedOn w:val="DefaultParagraphFont"/>
    <w:uiPriority w:val="99"/>
    <w:semiHidden/>
    <w:unhideWhenUsed/>
    <w:qFormat/>
    <w:rsid w:val="00984344"/>
    <w:rPr>
      <w:color w:val="605E5C"/>
      <w:shd w:fill="E1DFDD" w:val="clear"/>
    </w:rPr>
  </w:style>
  <w:style w:type="character" w:styleId="FollowedHyperlink">
    <w:name w:val="FollowedHyperlink"/>
    <w:basedOn w:val="DefaultParagraphFont"/>
    <w:semiHidden/>
    <w:unhideWhenUsed/>
    <w:rsid w:val="00c63677"/>
    <w:rPr>
      <w:color w:themeColor="followedHyperlink" w:val="800080"/>
      <w:u w:val="single"/>
    </w:rPr>
  </w:style>
  <w:style w:type="character" w:styleId="Vnculodendice">
    <w:name w:val="Vínculo de índice"/>
    <w:qFormat/>
    <w:rPr/>
  </w:style>
  <w:style w:type="character" w:styleId="EndnoteReference">
    <w:name w:val="endnote reference"/>
    <w:rPr>
      <w:vertAlign w:val="superscript"/>
    </w:rPr>
  </w:style>
  <w:style w:type="character" w:styleId="Caracteresdenotadefim">
    <w:name w:val="Caracteres de nota de fim"/>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autoRedefine/>
    <w:qFormat/>
    <w:rsid w:val="00860bce"/>
    <w:pPr>
      <w:ind w:firstLine="709"/>
    </w:pPr>
    <w:rPr>
      <w:rFonts w:cs="Arial"/>
      <w:lang w:eastAsia="pt-BR"/>
    </w:rPr>
  </w:style>
  <w:style w:type="paragraph" w:styleId="List">
    <w:name w:val="List"/>
    <w:basedOn w:val="BodyText"/>
    <w:pPr/>
    <w:rPr>
      <w:rFonts w:cs="Lucida Sans"/>
    </w:rPr>
  </w:style>
  <w:style w:type="paragraph" w:styleId="Caption">
    <w:name w:val="caption"/>
    <w:basedOn w:val="Normal"/>
    <w:next w:val="Normal"/>
    <w:qFormat/>
    <w:rsid w:val="00442433"/>
    <w:pPr>
      <w:spacing w:lineRule="auto" w:line="240" w:before="0" w:after="120"/>
    </w:pPr>
    <w:rPr>
      <w:rFonts w:cs="Arial"/>
      <w:b/>
      <w:bCs/>
      <w:sz w:val="22"/>
      <w:szCs w:val="20"/>
      <w:lang w:eastAsia="pt-BR"/>
    </w:rPr>
  </w:style>
  <w:style w:type="paragraph" w:styleId="ndice">
    <w:name w:val="Índice"/>
    <w:basedOn w:val="Normal"/>
    <w:qFormat/>
    <w:pPr>
      <w:suppressLineNumbers/>
    </w:pPr>
    <w:rPr>
      <w:rFonts w:cs="Lucida Sans"/>
    </w:rPr>
  </w:style>
  <w:style w:type="paragraph" w:styleId="Title">
    <w:name w:val="Title"/>
    <w:basedOn w:val="Normal"/>
    <w:next w:val="Normal"/>
    <w:link w:val="TitleChar"/>
    <w:uiPriority w:val="10"/>
    <w:qFormat/>
    <w:rsid w:val="001e3904"/>
    <w:pPr>
      <w:jc w:val="center"/>
    </w:pPr>
    <w:rPr>
      <w:rFonts w:cs="Arial"/>
      <w:b/>
      <w:sz w:val="26"/>
      <w:szCs w:val="26"/>
      <w:lang w:eastAsia="pt-BR"/>
    </w:rPr>
  </w:style>
  <w:style w:type="paragraph" w:styleId="TOC6">
    <w:name w:val="toc 6"/>
    <w:basedOn w:val="Normal"/>
    <w:next w:val="Normal"/>
    <w:autoRedefine/>
    <w:uiPriority w:val="39"/>
    <w:unhideWhenUsed/>
    <w:rsid w:val="008c0359"/>
    <w:pPr>
      <w:tabs>
        <w:tab w:val="clear" w:pos="720"/>
        <w:tab w:val="right" w:pos="9062" w:leader="dot"/>
      </w:tabs>
      <w:spacing w:before="0" w:after="100"/>
    </w:pPr>
    <w:rPr/>
  </w:style>
  <w:style w:type="paragraph" w:styleId="Cabealhoerodap">
    <w:name w:val="Cabeçalho e rodapé"/>
    <w:basedOn w:val="Normal"/>
    <w:qFormat/>
    <w:pPr/>
    <w:rPr/>
  </w:style>
  <w:style w:type="paragraph" w:styleId="Header">
    <w:name w:val="header"/>
    <w:basedOn w:val="Normal"/>
    <w:link w:val="HeaderChar"/>
    <w:autoRedefine/>
    <w:qFormat/>
    <w:rsid w:val="00616ea7"/>
    <w:pPr>
      <w:tabs>
        <w:tab w:val="clear" w:pos="720"/>
        <w:tab w:val="center" w:pos="4419" w:leader="none"/>
        <w:tab w:val="right" w:pos="8838" w:leader="none"/>
      </w:tabs>
    </w:pPr>
    <w:rPr/>
  </w:style>
  <w:style w:type="paragraph" w:styleId="Footer">
    <w:name w:val="footer"/>
    <w:basedOn w:val="Normal"/>
    <w:link w:val="FooterChar"/>
    <w:uiPriority w:val="99"/>
    <w:qFormat/>
    <w:rsid w:val="002b659c"/>
    <w:pPr>
      <w:tabs>
        <w:tab w:val="clear" w:pos="720"/>
        <w:tab w:val="center" w:pos="4419" w:leader="none"/>
        <w:tab w:val="right" w:pos="8838" w:leader="none"/>
      </w:tabs>
    </w:pPr>
    <w:rPr/>
  </w:style>
  <w:style w:type="paragraph" w:styleId="BalloonText">
    <w:name w:val="Balloon Text"/>
    <w:basedOn w:val="Normal"/>
    <w:link w:val="BalloonTextChar"/>
    <w:semiHidden/>
    <w:qFormat/>
    <w:rsid w:val="002b659c"/>
    <w:pPr/>
    <w:rPr>
      <w:rFonts w:ascii="Tahoma" w:hAnsi="Tahoma" w:cs="Tahoma"/>
      <w:sz w:val="16"/>
      <w:szCs w:val="16"/>
      <w:lang w:val="en-US" w:eastAsia="pt-BR"/>
    </w:rPr>
  </w:style>
  <w:style w:type="paragraph" w:styleId="FootnoteText">
    <w:name w:val="footnote text"/>
    <w:basedOn w:val="Normal"/>
    <w:link w:val="FootnoteTextChar"/>
    <w:semiHidden/>
    <w:rsid w:val="002b659c"/>
    <w:pPr/>
    <w:rPr>
      <w:rFonts w:ascii="Calibri" w:hAnsi="Calibri" w:cs="Calibri"/>
      <w:lang w:val="en-US"/>
    </w:rPr>
  </w:style>
  <w:style w:type="paragraph" w:styleId="Referncias-HG" w:customStyle="1">
    <w:name w:val="Referências - HG"/>
    <w:basedOn w:val="Normal"/>
    <w:qFormat/>
    <w:rsid w:val="006c4970"/>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240"/>
      <w:ind w:hanging="284" w:start="284"/>
      <w:jc w:val="start"/>
    </w:pPr>
    <w:rPr>
      <w:rFonts w:cs="Arial"/>
      <w:lang w:val="en-US" w:eastAsia="pt-BR"/>
    </w:rPr>
  </w:style>
  <w:style w:type="paragraph" w:styleId="NomedoAutor-HG" w:customStyle="1">
    <w:name w:val="Nome do Autor - HG"/>
    <w:basedOn w:val="Normal"/>
    <w:next w:val="Normal"/>
    <w:qFormat/>
    <w:rsid w:val="00d53c33"/>
    <w:pPr>
      <w:jc w:val="center"/>
    </w:pPr>
    <w:rPr>
      <w:b/>
      <w:bCs/>
      <w:sz w:val="28"/>
      <w:szCs w:val="28"/>
    </w:rPr>
  </w:style>
  <w:style w:type="paragraph" w:styleId="Apresentao-HG" w:customStyle="1">
    <w:name w:val="Apresentação - HG"/>
    <w:basedOn w:val="Normal"/>
    <w:next w:val="Normal"/>
    <w:qFormat/>
    <w:rsid w:val="001a2bbd"/>
    <w:pPr>
      <w:ind w:start="4479"/>
    </w:pPr>
    <w:rPr/>
  </w:style>
  <w:style w:type="paragraph" w:styleId="Data-HG" w:customStyle="1">
    <w:name w:val="Data - HG"/>
    <w:basedOn w:val="Normal"/>
    <w:next w:val="Normal"/>
    <w:qFormat/>
    <w:rsid w:val="00d53c33"/>
    <w:pPr>
      <w:spacing w:lineRule="auto" w:line="240" w:before="0" w:after="120"/>
      <w:jc w:val="center"/>
    </w:pPr>
    <w:rPr>
      <w:bCs/>
    </w:rPr>
  </w:style>
  <w:style w:type="paragraph" w:styleId="TextodetabelaeQuadro-HG" w:customStyle="1">
    <w:name w:val="Texto de tabela e Quadro - HG"/>
    <w:basedOn w:val="Normal"/>
    <w:qFormat/>
    <w:rsid w:val="001d2877"/>
    <w:pPr>
      <w:spacing w:lineRule="auto" w:line="240" w:before="120" w:after="120"/>
      <w:jc w:val="start"/>
    </w:pPr>
    <w:rPr>
      <w:rFonts w:cs="Calibri"/>
      <w:bCs/>
      <w:sz w:val="20"/>
      <w:szCs w:val="20"/>
    </w:rPr>
  </w:style>
  <w:style w:type="paragraph" w:styleId="TOC4">
    <w:name w:val="toc 4"/>
    <w:basedOn w:val="Normal"/>
    <w:next w:val="Normal"/>
    <w:autoRedefine/>
    <w:uiPriority w:val="39"/>
    <w:qFormat/>
    <w:rsid w:val="00a05c7f"/>
    <w:pPr>
      <w:spacing w:lineRule="auto" w:line="240" w:before="60" w:after="120"/>
      <w:ind w:hanging="737" w:start="1984"/>
    </w:pPr>
    <w:rPr>
      <w:sz w:val="22"/>
    </w:rPr>
  </w:style>
  <w:style w:type="paragraph" w:styleId="TOC1">
    <w:name w:val="toc 1"/>
    <w:basedOn w:val="Normal"/>
    <w:next w:val="Normal"/>
    <w:uiPriority w:val="39"/>
    <w:qFormat/>
    <w:rsid w:val="00381f83"/>
    <w:pPr>
      <w:spacing w:lineRule="auto" w:line="240" w:before="240" w:after="120"/>
      <w:ind w:hanging="284" w:start="284"/>
      <w:jc w:val="center"/>
    </w:pPr>
    <w:rPr>
      <w:b/>
    </w:rPr>
  </w:style>
  <w:style w:type="paragraph" w:styleId="TOC2">
    <w:name w:val="toc 2"/>
    <w:basedOn w:val="Normal"/>
    <w:next w:val="Normal"/>
    <w:autoRedefine/>
    <w:uiPriority w:val="39"/>
    <w:qFormat/>
    <w:rsid w:val="003f463c"/>
    <w:pPr>
      <w:tabs>
        <w:tab w:val="clear" w:pos="720"/>
        <w:tab w:val="left" w:pos="1247" w:leader="none"/>
        <w:tab w:val="right" w:pos="9062" w:leader="dot"/>
      </w:tabs>
      <w:spacing w:lineRule="auto" w:line="240" w:before="60" w:after="120"/>
      <w:ind w:hanging="397" w:start="681"/>
      <w:jc w:val="start"/>
    </w:pPr>
    <w:rPr>
      <w:rFonts w:ascii="Arial" w:hAnsi="Arial"/>
      <w:sz w:val="22"/>
    </w:rPr>
  </w:style>
  <w:style w:type="paragraph" w:styleId="TOC3">
    <w:name w:val="toc 3"/>
    <w:basedOn w:val="Normal"/>
    <w:next w:val="Normal"/>
    <w:uiPriority w:val="39"/>
    <w:qFormat/>
    <w:rsid w:val="00c15ac5"/>
    <w:pPr>
      <w:spacing w:lineRule="auto" w:line="240" w:before="60" w:after="120"/>
      <w:ind w:hanging="567" w:start="1247"/>
      <w:jc w:val="start"/>
    </w:pPr>
    <w:rPr>
      <w:sz w:val="22"/>
    </w:rPr>
  </w:style>
  <w:style w:type="paragraph" w:styleId="TOC5">
    <w:name w:val="toc 5"/>
    <w:basedOn w:val="Normal"/>
    <w:next w:val="Normal"/>
    <w:autoRedefine/>
    <w:uiPriority w:val="39"/>
    <w:qFormat/>
    <w:rsid w:val="00092990"/>
    <w:pPr>
      <w:spacing w:lineRule="auto" w:line="240" w:before="60" w:after="120"/>
      <w:ind w:hanging="907" w:start="2892"/>
      <w:jc w:val="start"/>
    </w:pPr>
    <w:rPr>
      <w:sz w:val="22"/>
    </w:rPr>
  </w:style>
  <w:style w:type="paragraph" w:styleId="TableofFigures">
    <w:name w:val="table of figures"/>
    <w:basedOn w:val="Normal"/>
    <w:next w:val="Normal"/>
    <w:uiPriority w:val="99"/>
    <w:rsid w:val="00912c75"/>
    <w:pPr>
      <w:spacing w:before="0" w:after="240"/>
      <w:jc w:val="start"/>
    </w:pPr>
    <w:rPr>
      <w:sz w:val="22"/>
    </w:rPr>
  </w:style>
  <w:style w:type="paragraph" w:styleId="NormalWeb">
    <w:name w:val="Normal (Web)"/>
    <w:basedOn w:val="Normal"/>
    <w:uiPriority w:val="99"/>
    <w:unhideWhenUsed/>
    <w:qFormat/>
    <w:rsid w:val="003c2532"/>
    <w:pPr>
      <w:spacing w:lineRule="auto" w:line="240" w:beforeAutospacing="1" w:afterAutospacing="1"/>
      <w:jc w:val="start"/>
    </w:pPr>
    <w:rPr>
      <w:lang w:eastAsia="pt-BR"/>
    </w:rPr>
  </w:style>
  <w:style w:type="paragraph" w:styleId="TitulodaTese-HG" w:customStyle="1">
    <w:name w:val="Titulo da Tese - HG"/>
    <w:basedOn w:val="Normal"/>
    <w:qFormat/>
    <w:rsid w:val="001e3904"/>
    <w:pPr>
      <w:jc w:val="center"/>
    </w:pPr>
    <w:rPr>
      <w:rFonts w:cs="Palatino Linotype"/>
      <w:b/>
      <w:bCs/>
      <w:caps/>
      <w:sz w:val="28"/>
      <w:szCs w:val="28"/>
    </w:rPr>
  </w:style>
  <w:style w:type="paragraph" w:styleId="SiglasHG" w:customStyle="1">
    <w:name w:val="Siglas HG"/>
    <w:basedOn w:val="BodyText"/>
    <w:qFormat/>
    <w:rsid w:val="005153fd"/>
    <w:pPr>
      <w:spacing w:lineRule="auto" w:line="240" w:before="120" w:after="120"/>
      <w:ind w:hanging="0"/>
      <w:jc w:val="start"/>
    </w:pPr>
    <w:rPr>
      <w:rFonts w:cs="Times New Roman"/>
      <w:b/>
      <w:bCs/>
      <w:szCs w:val="20"/>
    </w:rPr>
  </w:style>
  <w:style w:type="paragraph" w:styleId="FonteLegenda-HGesquerda4cm" w:customStyle="1">
    <w:name w:val="Fonte Legenda - HG + À esquerda:  4 cm"/>
    <w:basedOn w:val="Caption"/>
    <w:qFormat/>
    <w:rsid w:val="00442433"/>
    <w:pPr/>
    <w:rPr>
      <w:rFonts w:cs="Times New Roman"/>
      <w:b w:val="false"/>
    </w:rPr>
  </w:style>
  <w:style w:type="paragraph" w:styleId="ListadetopicosHG" w:customStyle="1">
    <w:name w:val="Lista de topicos HG"/>
    <w:basedOn w:val="BodyText"/>
    <w:autoRedefine/>
    <w:qFormat/>
    <w:rsid w:val="002b4b7d"/>
    <w:pPr>
      <w:tabs>
        <w:tab w:val="left" w:pos="720" w:leader="none"/>
      </w:tabs>
      <w:ind w:hanging="357" w:start="1321"/>
    </w:pPr>
    <w:rPr>
      <w:bCs/>
    </w:rPr>
  </w:style>
  <w:style w:type="paragraph" w:styleId="CitaoDireta-HG" w:customStyle="1">
    <w:name w:val="Citação Direta - HG"/>
    <w:basedOn w:val="BodyText"/>
    <w:qFormat/>
    <w:rsid w:val="009c397d"/>
    <w:pPr>
      <w:spacing w:lineRule="auto" w:line="240" w:before="120" w:after="120"/>
      <w:ind w:hanging="0" w:start="2268"/>
    </w:pPr>
    <w:rPr>
      <w:sz w:val="20"/>
    </w:rPr>
  </w:style>
  <w:style w:type="paragraph" w:styleId="TitulodetabelaeQuadro-HG" w:customStyle="1">
    <w:name w:val="Titulo de tabela e Quadro - HG"/>
    <w:basedOn w:val="TextodetabelaeQuadro-HG"/>
    <w:qFormat/>
    <w:rsid w:val="00f42ba0"/>
    <w:pPr/>
    <w:rPr>
      <w:rFonts w:cs="Times New Roman"/>
      <w:b/>
      <w:bCs w:val="false"/>
    </w:rPr>
  </w:style>
  <w:style w:type="paragraph" w:styleId="NomedoAutor-PPGSA" w:customStyle="1">
    <w:name w:val="Nome do Autor -PPGSA"/>
    <w:basedOn w:val="Normal"/>
    <w:next w:val="Normal"/>
    <w:qFormat/>
    <w:rsid w:val="000466cc"/>
    <w:pPr>
      <w:jc w:val="center"/>
    </w:pPr>
    <w:rPr>
      <w:b/>
      <w:bCs/>
      <w:sz w:val="28"/>
      <w:szCs w:val="28"/>
    </w:rPr>
  </w:style>
  <w:style w:type="paragraph" w:styleId="Apresentao-PPGSA" w:customStyle="1">
    <w:name w:val="Apresentação - PPGSA"/>
    <w:basedOn w:val="Normal"/>
    <w:next w:val="Normal"/>
    <w:qFormat/>
    <w:rsid w:val="000466cc"/>
    <w:pPr>
      <w:ind w:start="4479"/>
    </w:pPr>
    <w:rPr/>
  </w:style>
  <w:style w:type="paragraph" w:styleId="Datadatese-PPGSA" w:customStyle="1">
    <w:name w:val="Data da tese - PPGSA"/>
    <w:basedOn w:val="Normal"/>
    <w:next w:val="Normal"/>
    <w:qFormat/>
    <w:rsid w:val="000466cc"/>
    <w:pPr>
      <w:spacing w:lineRule="auto" w:line="240" w:before="0" w:after="120"/>
      <w:jc w:val="center"/>
    </w:pPr>
    <w:rPr>
      <w:bCs/>
    </w:rPr>
  </w:style>
  <w:style w:type="paragraph" w:styleId="TitulodaTese-PPGSA" w:customStyle="1">
    <w:name w:val="Titulo da Tese - PPGSA"/>
    <w:basedOn w:val="Normal"/>
    <w:qFormat/>
    <w:rsid w:val="000466cc"/>
    <w:pPr>
      <w:jc w:val="center"/>
    </w:pPr>
    <w:rPr>
      <w:rFonts w:cs="Palatino Linotype"/>
      <w:b/>
      <w:bCs/>
      <w:caps/>
      <w:sz w:val="28"/>
      <w:szCs w:val="28"/>
    </w:rPr>
  </w:style>
  <w:style w:type="paragraph" w:styleId="Bibliography">
    <w:name w:val="Bibliography"/>
    <w:basedOn w:val="Normal"/>
    <w:next w:val="Normal"/>
    <w:autoRedefine/>
    <w:uiPriority w:val="37"/>
    <w:unhideWhenUsed/>
    <w:qFormat/>
    <w:rsid w:val="00a10886"/>
    <w:pPr>
      <w:spacing w:lineRule="auto" w:line="240" w:before="0" w:after="120"/>
      <w:ind w:hanging="284" w:start="284"/>
      <w:jc w:val="start"/>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843c62"/>
    <w:pPr>
      <w:spacing w:before="0" w:after="0"/>
      <w:ind w:start="720"/>
      <w:contextualSpacing/>
    </w:pPr>
    <w:rPr/>
  </w:style>
  <w:style w:type="paragraph" w:styleId="TOC7">
    <w:name w:val="toc 7"/>
    <w:basedOn w:val="ndice"/>
    <w:pPr/>
    <w:rPr/>
  </w:style>
  <w:style w:type="paragraph" w:styleId="TOC8">
    <w:name w:val="toc 8"/>
    <w:basedOn w:val="ndice"/>
    <w:pPr/>
    <w:rPr/>
  </w:style>
  <w:style w:type="paragraph" w:styleId="TOC9">
    <w:name w:val="toc 9"/>
    <w:basedOn w:val="ndice"/>
    <w:pPr/>
    <w:rPr/>
  </w:style>
  <w:style w:type="paragraph" w:styleId="Cabealhoesquerda">
    <w:name w:val="Cabeçalho à esquerda"/>
    <w:basedOn w:val="Header"/>
    <w:qFormat/>
    <w:pPr/>
    <w:rPr/>
  </w:style>
  <w:style w:type="numbering" w:styleId="Semlista" w:default="1">
    <w:name w:val="Sem lista"/>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Contemporary">
    <w:name w:val="Table Contemporary"/>
    <w:basedOn w:val="TableNormal"/>
    <w:rsid w:val="00086e43"/>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Table3Deffects2">
    <w:name w:val="Table 3D effects 2"/>
    <w:basedOn w:val="TableNormal"/>
    <w:rsid w:val="00ac3cc5"/>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Grid">
    <w:name w:val="Table Grid"/>
    <w:basedOn w:val="TableNormal"/>
    <w:rsid w:val="00f7782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image" Target="media/image1.png"/><Relationship Id="rId20" Type="http://schemas.openxmlformats.org/officeDocument/2006/relationships/header" Target="header9.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footer" Target="footer12.xml"/><Relationship Id="rId29" Type="http://schemas.openxmlformats.org/officeDocument/2006/relationships/footer" Target="footer13.xml"/><Relationship Id="rId30" Type="http://schemas.openxmlformats.org/officeDocument/2006/relationships/header" Target="header15.xml"/><Relationship Id="rId31" Type="http://schemas.openxmlformats.org/officeDocument/2006/relationships/header" Target="header16.xml"/><Relationship Id="rId32" Type="http://schemas.openxmlformats.org/officeDocument/2006/relationships/footer" Target="footer14.xml"/><Relationship Id="rId33" Type="http://schemas.openxmlformats.org/officeDocument/2006/relationships/footer" Target="footer15.xml"/><Relationship Id="rId34" Type="http://schemas.openxmlformats.org/officeDocument/2006/relationships/header" Target="header17.xml"/><Relationship Id="rId35" Type="http://schemas.openxmlformats.org/officeDocument/2006/relationships/header" Target="header18.xml"/><Relationship Id="rId36" Type="http://schemas.openxmlformats.org/officeDocument/2006/relationships/header" Target="header19.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header" Target="header20.xml"/><Relationship Id="rId40" Type="http://schemas.openxmlformats.org/officeDocument/2006/relationships/header" Target="header21.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header" Target="header22.xml"/><Relationship Id="rId44" Type="http://schemas.openxmlformats.org/officeDocument/2006/relationships/header" Target="header23.xml"/><Relationship Id="rId45" Type="http://schemas.openxmlformats.org/officeDocument/2006/relationships/header" Target="header24.xml"/><Relationship Id="rId46" Type="http://schemas.openxmlformats.org/officeDocument/2006/relationships/footer" Target="footer20.xml"/><Relationship Id="rId47" Type="http://schemas.openxmlformats.org/officeDocument/2006/relationships/footer" Target="footer21.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Relationship Id="rId54"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_rels/footnotes.xml.rels><?xml version="1.0" encoding="UTF-8"?>
<Relationships xmlns="http://schemas.openxmlformats.org/package/2006/relationships"><Relationship Id="rId1" Type="http://schemas.openxmlformats.org/officeDocument/2006/relationships/hyperlink" Target="https://www.ucs.br/site/biblioteca/normalizacao/" TargetMode="External"/><Relationship Id="rId2" Type="http://schemas.openxmlformats.org/officeDocument/2006/relationships/hyperlink" Target="https://www.ucs.br/site/biblioteca/normalizacao/" TargetMode="External"/><Relationship Id="rId3" Type="http://schemas.openxmlformats.org/officeDocument/2006/relationships/hyperlink" Target="https://zbib.org/" TargetMode="External"/>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WiTZ2WZ4Sn4qgu5V2YXoLCyWsUQ==">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7DA171-69E9-498E-AA05-C19492F1C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Application>LibreOffice/26.2.5.2$Windows_X86_64 LibreOffice_project/cd7284b4cbbfeb507e630c1aac019f4157393acb</Application>
  <AppVersion>15.0000</AppVersion>
  <Pages>33</Pages>
  <Words>6857</Words>
  <Characters>39384</Characters>
  <CharactersWithSpaces>45839</CharactersWithSpaces>
  <Paragraphs>398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2021-05-24T15:30:00Z</dcterms:created>
  <dc:creator>Isabel</dc:creator>
  <dc:description/>
  <dc:language>pt-BR</dc:language>
  <cp:lastModifiedBy/>
  <dcterms:modified xsi:type="dcterms:W3CDTF">2026-09-14T14:25:01Z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id="ajdlJf78"/&gt;&lt;style id="http://www.zotero.org/styles/associacao-brasileira-de-normas-tecnicas" hasBibliography="1" bibliographyStyleHasBeenSet="1"/&gt;&lt;prefs&gt;&lt;pref name="fieldType" value="Field"/&gt;&lt;pre</vt:lpwstr>
  </property>
  <property fmtid="{D5CDD505-2E9C-101B-9397-08002B2CF9AE}" pid="3" name="ZOTERO_PREF_2">
    <vt:lpwstr>f name="automaticJournalAbbreviations" value="true"/&gt;&lt;/prefs&gt;&lt;/data&gt;</vt:lpwstr>
  </property>
</Properties>
</file>