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</w:r>
    </w:p>
    <w:p>
      <w:pPr>
        <w:pStyle w:val="normal1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SOLICITAÇÃO DE DISPENSA DO TERMO DE CONSENTIMENTO LIVRE E ESCLARECIDO (TCLE)</w:t>
      </w:r>
    </w:p>
    <w:p>
      <w:pPr>
        <w:pStyle w:val="normal1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</w:r>
    </w:p>
    <w:p>
      <w:pPr>
        <w:pStyle w:val="normal1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Título do projeto: </w:t>
      </w:r>
      <w:r>
        <w:rPr>
          <w:rFonts w:eastAsia="Times New Roman" w:cs="Times New Roman" w:ascii="Times New Roman" w:hAnsi="Times New Roman"/>
          <w:color w:val="C9211E"/>
          <w:sz w:val="22"/>
          <w:szCs w:val="22"/>
          <w:highlight w:val="yellow"/>
        </w:rPr>
        <w:t>[inserir título completo]</w:t>
      </w:r>
    </w:p>
    <w:p>
      <w:pPr>
        <w:pStyle w:val="normal1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Pesquisador(a) responsável: </w:t>
      </w:r>
      <w:r>
        <w:rPr>
          <w:rFonts w:eastAsia="Times New Roman" w:cs="Times New Roman" w:ascii="Times New Roman" w:hAnsi="Times New Roman"/>
          <w:color w:val="C9211E"/>
          <w:sz w:val="22"/>
          <w:szCs w:val="22"/>
          <w:highlight w:val="yellow"/>
        </w:rPr>
        <w:t>[nome completo]</w:t>
      </w:r>
    </w:p>
    <w:p>
      <w:pPr>
        <w:pStyle w:val="normal1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Instituição proponente: </w:t>
      </w:r>
      <w:r>
        <w:rPr>
          <w:rFonts w:eastAsia="Times New Roman" w:cs="Times New Roman" w:ascii="Times New Roman" w:hAnsi="Times New Roman"/>
          <w:color w:val="C9211E"/>
          <w:sz w:val="22"/>
          <w:szCs w:val="22"/>
          <w:highlight w:val="yellow"/>
        </w:rPr>
        <w:t>[instituição]</w:t>
      </w:r>
    </w:p>
    <w:p>
      <w:pPr>
        <w:pStyle w:val="normal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1. Solicitação</w:t>
      </w:r>
    </w:p>
    <w:p>
      <w:pPr>
        <w:pStyle w:val="normal1"/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>Solicito ao Comitê de Ética em Pesquisa da Universidade de Caxias do Sul – CEP/UCS a dispensa da obtenção do Termo de Consentimento Livre e Esclarecido (TCLE) para a realização da pesquisa acima identificada, que utilizará dados secundários provenientes de prontuários eletrônicos disponíveis no sistema Tazy, o qual é utilizado no Hospital Geral.</w:t>
      </w:r>
    </w:p>
    <w:p>
      <w:pPr>
        <w:pStyle w:val="normal1"/>
        <w:jc w:val="both"/>
        <w:rPr>
          <w:rFonts w:ascii="Times New Roman" w:hAnsi="Times New Roman" w:eastAsia="Times New Roman" w:cs="Times New Roman"/>
          <w:color w:val="C9211E"/>
          <w:sz w:val="22"/>
          <w:szCs w:val="22"/>
        </w:rPr>
      </w:pPr>
      <w:r>
        <w:rPr>
          <w:rFonts w:eastAsia="Times New Roman" w:cs="Times New Roman" w:ascii="Times New Roman" w:hAnsi="Times New Roman"/>
          <w:color w:val="C9211E"/>
          <w:sz w:val="22"/>
          <w:szCs w:val="22"/>
        </w:rPr>
      </w:r>
    </w:p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2. Justificativa para a dispensa</w:t>
      </w:r>
    </w:p>
    <w:p>
      <w:pPr>
        <w:pStyle w:val="normal1"/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A solicitação de dispensa do TCLE fundamenta-se na 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impossibilidade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de obtenção do consentimento dos participantes, considerando que:</w:t>
      </w:r>
    </w:p>
    <w:p>
      <w:pPr>
        <w:pStyle w:val="normal1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 xml:space="preserve">Trata-se de estudo retrospectivo, realizado exclusivamente com dados já existentes em prontuários institucionais, referentes ao período de 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highlight w:val="yellow"/>
        </w:rPr>
        <w:t>____ a ____</w:t>
      </w: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 xml:space="preserve">. A pesquisa não prevê contato com os participantes e a obtenção individual do consentimento mostra-se inviável em razão de 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highlight w:val="yellow"/>
        </w:rPr>
        <w:t>IDENTIFICAR UMA OU MAIS RAZÕES CONFORME EXEMPLOS (Impossibilidade de localizar pacientes antigos ou falecidos); (Volume excessivo de dados de prontuário); (Risco de que a busca ativa cause quebra de privacidade/constrangimento).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Descrever e justificar detalhadamente: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  <w:highlight w:val="yellow"/>
        </w:rPr>
      </w:pPr>
      <w:r>
        <w:rPr>
          <w:rFonts w:eastAsia="Times New Roman" w:cs="Times New Roman" w:ascii="Times New Roman" w:hAnsi="Times New Roman"/>
          <w:sz w:val="22"/>
          <w:szCs w:val="22"/>
          <w:highlight w:val="yellow"/>
        </w:rPr>
        <w:t>* Impossibilidade de localizar pacientes antigos ou falecidos: Devido ao tempo decorrido, grande parte dos pacientes perdeu o vínculo com a instituição de saúde ou faleceram, tornando inviável a localização e o contato com a totalidade da amostra por telefone, e-mail ou correspondência sem gerar buscas ativas que poderiam comprometer a privacidade dos indivíduos;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  <w:highlight w:val="yellow"/>
        </w:rPr>
      </w:pPr>
      <w:r>
        <w:rPr>
          <w:rFonts w:eastAsia="Times New Roman" w:cs="Times New Roman" w:ascii="Times New Roman" w:hAnsi="Times New Roman"/>
          <w:sz w:val="22"/>
          <w:szCs w:val="22"/>
          <w:highlight w:val="yellow"/>
        </w:rPr>
        <w:t>* Volume excessivo de dados de prontuário: O estudo possui caráter retrospectivo e prevê a análise de um volume expressivo de dados, totalizando [inserir número] prontuários médicos. A tentativa de localização e contato individual com uma amostra dessa magnitude geraria uma sobrecarga operacional impraticável para a equipe de pesquisa, inviabilizando a execução do projeto do ponto de vista logístico e temporal;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  <w:highlight w:val="yellow"/>
        </w:rPr>
      </w:pPr>
      <w:r>
        <w:rPr>
          <w:rFonts w:eastAsia="Times New Roman" w:cs="Times New Roman" w:ascii="Times New Roman" w:hAnsi="Times New Roman"/>
          <w:sz w:val="22"/>
          <w:szCs w:val="22"/>
          <w:highlight w:val="yellow"/>
        </w:rPr>
        <w:t>* Risco de que a busca ativa cause quebra de privacidade/constrangimento: A realização de uma busca ativa por meio de telefonemas ou quaisquer tipos de meios de comunicação após o encerramento do vínculo do paciente com o serviço de saúde pode trazer um risco real de quebra de privacidade. O contato inesperado pode expor o histórico médico do indivíduo a familiares ou terceiros que compartilham o mesmo telefone ou endereço. Adicionalmente, caso o paciente tenha evoluído para óbito ou diagnóstico grave desde o último atendimento, o contato da pesquisa pode causar sofrimento ético e constrangimento desnecessário aos familiares.</w:t>
      </w:r>
    </w:p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3. Natureza e utilização dos dados</w:t>
      </w:r>
    </w:p>
    <w:p>
      <w:pPr>
        <w:pStyle w:val="normal1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Serão utilizados dados </w:t>
      </w:r>
      <w:r>
        <w:rPr>
          <w:rFonts w:eastAsia="Times New Roman" w:cs="Times New Roman" w:ascii="Times New Roman" w:hAnsi="Times New Roman"/>
          <w:color w:val="C9211E"/>
          <w:sz w:val="22"/>
          <w:szCs w:val="22"/>
          <w:highlight w:val="yellow"/>
        </w:rPr>
        <w:t>[descrever quais dados]</w:t>
      </w:r>
      <w:r>
        <w:rPr>
          <w:rFonts w:eastAsia="Times New Roman" w:cs="Times New Roman" w:ascii="Times New Roman" w:hAnsi="Times New Roman"/>
          <w:color w:val="C9211E"/>
          <w:sz w:val="22"/>
          <w:szCs w:val="22"/>
        </w:rPr>
        <w:t>,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exclusivamente para os objetivos previstos no projeto de pesquisa.</w:t>
      </w:r>
    </w:p>
    <w:p>
      <w:pPr>
        <w:pStyle w:val="normal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Os pesquisadores terão acesso a:</w:t>
      </w:r>
    </w:p>
    <w:p>
      <w:pPr>
        <w:pStyle w:val="normal1"/>
        <w:rPr/>
      </w:pPr>
      <w:r>
        <w:rPr>
          <w:rFonts w:eastAsia="Times New Roman" w:cs="Times New Roman" w:ascii="Times New Roman" w:hAnsi="Times New Roman"/>
          <w:sz w:val="22"/>
          <w:szCs w:val="22"/>
        </w:rPr>
        <w:t>[ x ] dados identificáveis;</w:t>
      </w:r>
    </w:p>
    <w:p>
      <w:pPr>
        <w:pStyle w:val="normal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[ ] dados codificados.</w:t>
      </w:r>
    </w:p>
    <w:p>
      <w:pPr>
        <w:pStyle w:val="normal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Descrever o fluxo de acesso aos dados e quem terá acesso às informações:</w:t>
      </w:r>
    </w:p>
    <w:p>
      <w:pPr>
        <w:pStyle w:val="normal1"/>
        <w:jc w:val="both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 xml:space="preserve">O fluxo de acesso aos dados ocorrerá da seguinte forma: primeiramente, o pesquisador responsável solicitará ao setor de Tecnologia da Informação (TI) a extração de dados dos pacientes que atendam aos critérios de inclusão e exclusão do estudo. A TI fornecerá um relatório preliminar contendo informações clínicas básicas (ex.: número e local do atendimento, procedimentos realizados, entre outros). Nesta etapa, a identidade dos pacientes será preservada, mantendo-se exclusivamente o número do prontuário como identificador. Em seguida, o(a) pesquisador(a) </w:t>
      </w:r>
      <w:r>
        <w:rPr>
          <w:rFonts w:eastAsia="Times New Roman" w:cs="Times New Roman" w:ascii="Times New Roman" w:hAnsi="Times New Roman"/>
          <w:color w:val="000000"/>
          <w:sz w:val="22"/>
          <w:szCs w:val="22"/>
          <w:highlight w:val="yellow"/>
        </w:rPr>
        <w:t>[nome da pessoa]</w:t>
      </w: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 xml:space="preserve"> realizará a busca ativa e individualizada no sistema Tazy utilizando os números de prontuário. O acesso integral aos prontuários, que contêm dados sensíveis, será estritamente restrito ao pesquisador responsável e ao membro da equipe designado para a coleta. Durante a extração final para a planilha de pesquisa, os dados serão anonimizados, não sendo incluído nenhum dado pessoal, sensível ou identificador direto que possibilite o reconhecimento dos participantes. Esta planilha final será compartilhada exclusivamente com os membros da equipe de pesquisa, em ambiente seguro, e utilizada apenas durante o período de execução do projeto.</w:t>
      </w:r>
    </w:p>
    <w:p>
      <w:pPr>
        <w:pStyle w:val="normal1"/>
        <w:rPr>
          <w:rFonts w:ascii="Times New Roman" w:hAnsi="Times New Roman" w:eastAsia="Times New Roman" w:cs="Times New Roman"/>
          <w:color w:val="00000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</w:r>
    </w:p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4.Avaliação dos riscos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Considerando a natureza retrospectiva da pesquisa e a utilização de dados secundários, os riscos relacionados aos participantes estão principalmente relacionados à possibilidade de quebra de privacidade e confidencialidade.</w:t>
      </w:r>
    </w:p>
    <w:p>
      <w:pPr>
        <w:pStyle w:val="normal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As medidas adotadas para minimizar esses riscos são:</w:t>
      </w:r>
    </w:p>
    <w:p>
      <w:pPr>
        <w:pStyle w:val="normal1"/>
        <w:numPr>
          <w:ilvl w:val="0"/>
          <w:numId w:val="1"/>
        </w:numPr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>Anonimização e Proteção de Dados: Todos os dados serão coletados, manejados e analisados de forma estritamente anônima, sem identificação nominal ou qualquer fator que permita a rastreabilidade dos participantes, cumprindo rigorosamente as garantias de sigilo e a inviolabilidade dos dados de saúde asseguradas pelo Estatuto do Paciente (Lei nº 15.378/2026) e legislações de proteção de dados vigentes. Os dados coletados serão inseridos em uma planilha de análise de forma totalmente anonimizada, substituindo a identidade dos pacientes por códigos numéricos. Nenhuma informação que permita a identificação individual (como nomes, RG ou CPF) será divulgada ou publicada, garantindo o sigilo absoluto e a confidencialidade das informações.</w:t>
      </w:r>
    </w:p>
    <w:p>
      <w:pPr>
        <w:pStyle w:val="normal1"/>
        <w:numPr>
          <w:ilvl w:val="0"/>
          <w:numId w:val="1"/>
        </w:numPr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>Divulgação Agregada: Os resultados decorrentes do estudo serão apresentados de forma inteiramente coletiva e agregada, impossibilitando de forma definitiva a identificação individual de qualquer paciente.</w:t>
      </w:r>
    </w:p>
    <w:p>
      <w:pPr>
        <w:pStyle w:val="normal1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Ausência de Intervenção e Risco Adicional: Configura-se como um estudo não intervencionista, sem alterações ou influências na rotina clínica, no diagnóstico ou no tratamento atual dos pacientes, garantindo o manejo com risco mínimo e a total ausência de prejuízos ao bem-estar dos titulares dos dados.</w:t>
      </w:r>
    </w:p>
    <w:p>
      <w:pPr>
        <w:pStyle w:val="normal1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5. Declaração do pesquisador responsável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Reconheço que a dispensa do TCLE constitui decisão do Comitê de Ética em Pesquisa, após análise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das características específicas do projeto, não devendo ser considerada autorizada até a manifestação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formal do CEP.</w:t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normal1"/>
        <w:jc w:val="both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</w:r>
    </w:p>
    <w:p>
      <w:pPr>
        <w:pStyle w:val="normal1"/>
        <w:rPr>
          <w:rFonts w:ascii="Times New Roman" w:hAnsi="Times New Roman" w:eastAsia="Times New Roman" w:cs="Times New Roman"/>
          <w:color w:val="C9211E"/>
          <w:sz w:val="22"/>
          <w:szCs w:val="22"/>
        </w:rPr>
      </w:pPr>
      <w:r>
        <w:rPr>
          <w:rFonts w:eastAsia="Times New Roman" w:cs="Times New Roman" w:ascii="Times New Roman" w:hAnsi="Times New Roman"/>
          <w:color w:val="C9211E"/>
          <w:sz w:val="22"/>
          <w:szCs w:val="22"/>
        </w:rPr>
        <w:t>Caxias do Sul, ____ de __________________ de 20____.</w:t>
      </w:r>
    </w:p>
    <w:p>
      <w:pPr>
        <w:pStyle w:val="normal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Assinatura do(s) Pesquisador(es):</w:t>
      </w:r>
    </w:p>
    <w:p>
      <w:pPr>
        <w:pStyle w:val="normal1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spacing w:lineRule="auto" w:line="240" w:before="0" w:after="16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1701" w:top="2478" w:footer="1134" w:bottom="228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Comitê de Ética em Pesquisa da Universidade de Caxias do Sul – CEP-UCS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Liberation Serif" w:hAnsi="Liberation Serif"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 xml:space="preserve"> </w:t>
    </w: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Bloco S, Sala 405 – Cidade Universitária – Caxias do Sul, RS – CEP: 95070-560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E-mail do CEP: cep-ucs@ucs.br Tel.: (54) 3218-2829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Times New Roman" w:hAnsi="Times New Roman" w:eastAsia="Times New Roman" w:cs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Comitê de Ética em Pesquisa da Universidade de Caxias do Sul – CEP-UCS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Liberation Serif" w:hAnsi="Liberation Serif"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 xml:space="preserve"> </w:t>
    </w:r>
    <w:r>
      <w:rPr>
        <w:rFonts w:eastAsia="Times New Roman" w:cs="Times New Roman" w:ascii="Times New Roman" w:hAnsi="Times New Roman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Bloco S, Sala 405 – Cidade Universitária – Caxias do Sul, RS – CEP: 95070-560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76" w:before="0" w:after="0"/>
      <w:ind w:hanging="0" w:start="0" w:end="0"/>
      <w:jc w:val="center"/>
      <w:rPr>
        <w:rFonts w:ascii="Times New Roman" w:hAnsi="Times New Roman" w:eastAsia="Times New Roman" w:cs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</w:pPr>
    <w:r>
      <w:rPr>
        <w:rFonts w:eastAsia="Times New Roman" w:cs="Times New Roman" w:ascii="Times New Roman" w:hAnsi="Times New Roman"/>
        <w:b/>
        <w:bCs/>
        <w:i w:val="false"/>
        <w:iCs w:val="false"/>
        <w:caps w:val="false"/>
        <w:smallCaps w:val="false"/>
        <w:strike w:val="false"/>
        <w:dstrike w:val="false"/>
        <w:color w:val="808080"/>
        <w:position w:val="0"/>
        <w:sz w:val="22"/>
        <w:szCs w:val="22"/>
        <w:u w:val="none"/>
        <w:shd w:fill="auto" w:val="clear"/>
        <w:vertAlign w:val="baseline"/>
      </w:rPr>
      <w:t>E-mail do CEP: cep-ucs@ucs.br Tel.: (54) 3218-2829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16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1148715</wp:posOffset>
          </wp:positionH>
          <wp:positionV relativeFrom="paragraph">
            <wp:posOffset>-593725</wp:posOffset>
          </wp:positionV>
          <wp:extent cx="3462655" cy="927100"/>
          <wp:effectExtent l="0" t="0" r="0" b="0"/>
          <wp:wrapSquare wrapText="bothSides"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5323" r="0" b="27047"/>
                  <a:stretch>
                    <a:fillRect/>
                  </a:stretch>
                </pic:blipFill>
                <pic:spPr bwMode="auto">
                  <a:xfrm>
                    <a:off x="0" y="0"/>
                    <a:ext cx="3462655" cy="927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76" w:before="0" w:after="160"/>
      <w:ind w:hanging="0" w:start="0" w:end="0"/>
      <w:jc w:val="start"/>
      <w:rPr>
        <w:rFonts w:ascii="Calibri" w:hAnsi="Calibri"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</w:pPr>
    <w:r>
      <w:rPr>
        <w:rFonts w:eastAsia="Calibri" w:cs="Calibri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Cs w:val="24"/>
        <w:u w:val="none"/>
        <w:shd w:fill="auto" w:val="clear"/>
        <w:vertAlign w:val="baseline"/>
      </w:rPr>
      <w:drawing>
        <wp:anchor distT="0" distB="0" distL="0" distR="0" simplePos="0" relativeHeight="4" behindDoc="1" locked="0" layoutInCell="0" allowOverlap="1">
          <wp:simplePos x="0" y="0"/>
          <wp:positionH relativeFrom="column">
            <wp:posOffset>1148715</wp:posOffset>
          </wp:positionH>
          <wp:positionV relativeFrom="paragraph">
            <wp:posOffset>-593725</wp:posOffset>
          </wp:positionV>
          <wp:extent cx="3462655" cy="927100"/>
          <wp:effectExtent l="0" t="0" r="0" b="0"/>
          <wp:wrapSquare wrapText="bothSides"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0" t="25323" r="0" b="27047"/>
                  <a:stretch>
                    <a:fillRect/>
                  </a:stretch>
                </pic:blipFill>
                <pic:spPr bwMode="auto">
                  <a:xfrm>
                    <a:off x="0" y="0"/>
                    <a:ext cx="3462655" cy="927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800"/>
        </w:tabs>
        <w:ind w:star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880"/>
        </w:tabs>
        <w:ind w:star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3240"/>
        </w:tabs>
        <w:ind w:star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960"/>
        </w:tabs>
        <w:ind w:start="396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160"/>
      <w:jc w:val="star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lineRule="auto" w:line="240" w:before="360" w:after="80"/>
    </w:pPr>
    <w:rPr>
      <w:rFonts w:ascii="Calibri" w:hAnsi="Calibri" w:eastAsia="Calibri" w:cs="Calibri"/>
      <w:color w:val="2F5496"/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spacing w:lineRule="auto" w:line="240" w:before="160" w:after="80"/>
    </w:pPr>
    <w:rPr>
      <w:rFonts w:ascii="Calibri" w:hAnsi="Calibri" w:eastAsia="Calibri" w:cs="Calibri"/>
      <w:color w:val="2F5496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spacing w:lineRule="auto" w:line="240" w:before="160" w:after="80"/>
    </w:pPr>
    <w:rPr>
      <w:color w:val="2F5496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lineRule="auto" w:line="240" w:before="80" w:after="40"/>
    </w:pPr>
    <w:rPr>
      <w:i/>
      <w:iCs/>
      <w:color w:val="2F5496"/>
    </w:rPr>
  </w:style>
  <w:style w:type="paragraph" w:styleId="Heading5">
    <w:name w:val="heading 5"/>
    <w:basedOn w:val="normal1"/>
    <w:next w:val="normal1"/>
    <w:qFormat/>
    <w:pPr>
      <w:keepNext w:val="true"/>
      <w:keepLines/>
      <w:spacing w:lineRule="auto" w:line="240" w:before="80" w:after="40"/>
    </w:pPr>
    <w:rPr>
      <w:color w:val="2F5496"/>
    </w:rPr>
  </w:style>
  <w:style w:type="paragraph" w:styleId="Heading6">
    <w:name w:val="heading 6"/>
    <w:basedOn w:val="normal1"/>
    <w:next w:val="normal1"/>
    <w:qFormat/>
    <w:pPr>
      <w:keepNext w:val="true"/>
      <w:keepLines/>
      <w:spacing w:lineRule="auto" w:line="240" w:before="40" w:after="0"/>
    </w:pPr>
    <w:rPr>
      <w:i/>
      <w:iCs/>
      <w:color w:val="595959"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normal1" w:default="1">
    <w:name w:val="normal1"/>
    <w:qFormat/>
    <w:pPr>
      <w:widowControl/>
      <w:bidi w:val="0"/>
      <w:spacing w:lineRule="auto" w:line="276" w:before="0" w:after="160"/>
      <w:jc w:val="start"/>
    </w:pPr>
    <w:rPr>
      <w:rFonts w:ascii="Calibri" w:hAnsi="Calibri" w:eastAsia="Calibri" w:cs="Calibri"/>
      <w:color w:val="auto"/>
      <w:kern w:val="0"/>
      <w:sz w:val="24"/>
      <w:szCs w:val="24"/>
      <w:lang w:val="en-US" w:eastAsia="zh-CN" w:bidi="hi-IN"/>
    </w:rPr>
  </w:style>
  <w:style w:type="paragraph" w:styleId="Title">
    <w:name w:val="Title"/>
    <w:basedOn w:val="normal1"/>
    <w:next w:val="normal1"/>
    <w:qFormat/>
    <w:pPr>
      <w:spacing w:lineRule="auto" w:line="240" w:before="0" w:after="80"/>
    </w:pPr>
    <w:rPr>
      <w:rFonts w:ascii="Calibri" w:hAnsi="Calibri" w:eastAsia="Calibri" w:cs="Calibri"/>
      <w:sz w:val="56"/>
      <w:szCs w:val="56"/>
    </w:rPr>
  </w:style>
  <w:style w:type="paragraph" w:styleId="Subtitle">
    <w:name w:val="Subtitle"/>
    <w:basedOn w:val="normal1"/>
    <w:next w:val="normal1"/>
    <w:qFormat/>
    <w:pPr/>
    <w:rPr>
      <w:color w:val="595959"/>
      <w:sz w:val="28"/>
      <w:szCs w:val="28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paragraph" w:styleId="Footer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3</Pages>
  <Words>903</Words>
  <Characters>5398</Characters>
  <CharactersWithSpaces>6269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2026-09-14T13:56:35Z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